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606B" w:rsidP="0041606B" w:rsidRDefault="0041606B" w14:paraId="1E0715DC" w14:textId="5809BD28">
      <w:pPr>
        <w:keepNext w:val="1"/>
        <w:keepLines w:val="1"/>
        <w:spacing w:before="200" w:after="200" w:line="276" w:lineRule="auto"/>
        <w:outlineLvl w:val="2"/>
        <w:rPr>
          <w:rFonts w:ascii="Arial" w:hAnsi="Arial" w:eastAsia="Times New Roman" w:cs="Times New Roman"/>
          <w:b w:val="1"/>
          <w:bCs w:val="1"/>
          <w:color w:val="1F3864"/>
          <w:kern w:val="0"/>
          <w:sz w:val="40"/>
          <w:szCs w:val="40"/>
          <w:lang w:bidi="ar-SA"/>
          <w14:ligatures w14:val="none"/>
        </w:rPr>
      </w:pPr>
      <w:r w:rsidRPr="0041606B" w:rsidR="0041606B">
        <w:rPr>
          <w:rFonts w:ascii="Arial" w:hAnsi="Arial" w:eastAsia="Times New Roman" w:cs="Times New Roman"/>
          <w:b w:val="1"/>
          <w:bCs w:val="1"/>
          <w:color w:val="1F3864"/>
          <w:kern w:val="0"/>
          <w:sz w:val="40"/>
          <w:szCs w:val="40"/>
          <w:lang w:bidi="ar-SA"/>
          <w14:ligatures w14:val="none"/>
        </w:rPr>
        <w:t>LOCAL HERITAGE</w:t>
      </w:r>
      <w:r w:rsidRPr="0041606B" w:rsidR="04322FA9">
        <w:rPr>
          <w:rFonts w:ascii="Arial" w:hAnsi="Arial" w:eastAsia="Times New Roman" w:cs="Times New Roman"/>
          <w:b w:val="1"/>
          <w:bCs w:val="1"/>
          <w:color w:val="1F3864"/>
          <w:kern w:val="0"/>
          <w:sz w:val="40"/>
          <w:szCs w:val="40"/>
          <w:lang w:bidi="ar-SA"/>
          <w14:ligatures w14:val="none"/>
        </w:rPr>
        <w:t xml:space="preserve"> FUND</w:t>
      </w:r>
      <w:r w:rsidRPr="0041606B" w:rsidR="0041606B">
        <w:rPr>
          <w:rFonts w:ascii="Arial" w:hAnsi="Arial" w:eastAsia="Times New Roman" w:cs="Times New Roman"/>
          <w:b w:val="1"/>
          <w:bCs w:val="1"/>
          <w:color w:val="1F3864"/>
          <w:kern w:val="0"/>
          <w:sz w:val="40"/>
          <w:szCs w:val="40"/>
          <w:lang w:bidi="ar-SA"/>
          <w14:ligatures w14:val="none"/>
        </w:rPr>
        <w:t xml:space="preserve"> </w:t>
      </w:r>
      <w:r w:rsidRPr="0041606B" w:rsidR="0041606B">
        <w:rPr>
          <w:rFonts w:ascii="Arial" w:hAnsi="Arial" w:eastAsia="Times New Roman" w:cs="Times New Roman"/>
          <w:b w:val="1"/>
          <w:bCs w:val="1"/>
          <w:color w:val="1F3864"/>
          <w:kern w:val="0"/>
          <w:sz w:val="40"/>
          <w:szCs w:val="40"/>
          <w:lang w:bidi="ar-SA"/>
          <w14:ligatures w14:val="none"/>
        </w:rPr>
        <w:t>POLICY</w:t>
      </w:r>
    </w:p>
    <w:p w:rsidRPr="0041606B" w:rsidR="0041606B" w:rsidP="707BAFDE" w:rsidRDefault="0041606B" w14:paraId="04B7426C" w14:textId="5347758B">
      <w:pPr>
        <w:keepNext w:val="1"/>
        <w:keepLines w:val="1"/>
        <w:spacing w:before="200" w:after="200" w:line="276" w:lineRule="auto"/>
        <w:outlineLvl w:val="2"/>
        <w:rPr>
          <w:rFonts w:ascii="Arial" w:hAnsi="Arial" w:eastAsia="Times New Roman" w:cs="Times New Roman"/>
          <w:b w:val="1"/>
          <w:bCs w:val="1"/>
          <w:color w:val="1F3864"/>
          <w:kern w:val="0"/>
          <w:sz w:val="28"/>
          <w:szCs w:val="28"/>
          <w:lang w:bidi="ar-SA"/>
          <w14:ligatures w14:val="none"/>
        </w:rPr>
      </w:pPr>
      <w:r w:rsidRPr="707BAFDE" w:rsidR="0041606B">
        <w:rPr>
          <w:rFonts w:ascii="Arial" w:hAnsi="Arial" w:eastAsia="Times New Roman" w:cs="Times New Roman"/>
          <w:b w:val="1"/>
          <w:bCs w:val="1"/>
          <w:color w:val="1F3864"/>
          <w:kern w:val="0"/>
          <w:sz w:val="28"/>
          <w:szCs w:val="28"/>
          <w:lang w:bidi="ar-SA"/>
          <w14:ligatures w14:val="none"/>
        </w:rPr>
        <w:t xml:space="preserve">Policy Number: </w:t>
      </w:r>
      <w:r w:rsidRPr="707BAFDE" w:rsidR="0041606B">
        <w:rPr>
          <w:rFonts w:ascii="Arial" w:hAnsi="Arial" w:eastAsia="Times New Roman" w:cs="Times New Roman"/>
          <w:b w:val="1"/>
          <w:bCs w:val="1"/>
          <w:color w:val="1F3864"/>
          <w:kern w:val="0"/>
          <w:sz w:val="28"/>
          <w:szCs w:val="28"/>
          <w:lang w:bidi="ar-SA"/>
          <w14:ligatures w14:val="none"/>
        </w:rPr>
        <w:t>LPP7</w:t>
      </w:r>
    </w:p>
    <w:p w:rsidR="0041606B" w:rsidP="0041606B" w:rsidRDefault="009C5099" w14:paraId="7433A7CD" w14:textId="6AC8087E">
      <w:pPr>
        <w:pStyle w:val="Heading2"/>
      </w:pPr>
      <w:r w:rsidRPr="0041606B">
        <w:t>STATUTORY BACKGROUND</w:t>
      </w:r>
    </w:p>
    <w:p w:rsidRPr="0041606B" w:rsidR="0041606B" w:rsidP="0041606B" w:rsidRDefault="0041606B" w14:paraId="16FAB97F" w14:textId="77777777">
      <w:pPr>
        <w:pBdr>
          <w:bottom w:val="single" w:color="0070C0" w:sz="12" w:space="1"/>
        </w:pBdr>
      </w:pPr>
    </w:p>
    <w:p w:rsidRPr="0041606B" w:rsidR="009C5099" w:rsidP="00A33728" w:rsidRDefault="009C5099" w14:paraId="3164F4DF" w14:textId="77777777">
      <w:pPr>
        <w:pStyle w:val="Default"/>
        <w:spacing w:before="60" w:after="60"/>
        <w:jc w:val="both"/>
        <w:rPr>
          <w:rFonts w:ascii="Arial" w:hAnsi="Arial" w:cs="Arial"/>
          <w:sz w:val="22"/>
          <w:szCs w:val="22"/>
        </w:rPr>
      </w:pPr>
      <w:r w:rsidRPr="0041606B">
        <w:rPr>
          <w:rFonts w:ascii="Arial" w:hAnsi="Arial" w:cs="Arial"/>
          <w:sz w:val="22"/>
          <w:szCs w:val="22"/>
        </w:rPr>
        <w:t xml:space="preserve">This Policy is adopted under Part 2 of Schedule 2, of the </w:t>
      </w:r>
      <w:r w:rsidRPr="0041606B">
        <w:rPr>
          <w:rFonts w:ascii="Arial" w:hAnsi="Arial" w:cs="Arial"/>
          <w:i/>
          <w:iCs/>
          <w:sz w:val="22"/>
          <w:szCs w:val="22"/>
        </w:rPr>
        <w:t>Planning and Development (Local Planning Schemes) Regulations 2015</w:t>
      </w:r>
      <w:r w:rsidRPr="0041606B">
        <w:rPr>
          <w:rFonts w:ascii="Arial" w:hAnsi="Arial" w:cs="Arial"/>
          <w:sz w:val="22"/>
          <w:szCs w:val="22"/>
        </w:rPr>
        <w:t>.  This Policy may be cited as Local Planning Policy Advertising Planning Proposals.</w:t>
      </w:r>
    </w:p>
    <w:p w:rsidRPr="0041606B" w:rsidR="00F7727F" w:rsidP="00A33728" w:rsidRDefault="00F7727F" w14:paraId="3AB3080C" w14:textId="77777777">
      <w:pPr>
        <w:spacing w:after="0" w:line="276" w:lineRule="auto"/>
        <w:jc w:val="both"/>
        <w:rPr>
          <w:rFonts w:ascii="Arial" w:hAnsi="Arial" w:cs="Arial"/>
          <w:b/>
          <w:bCs/>
          <w:szCs w:val="22"/>
        </w:rPr>
      </w:pPr>
    </w:p>
    <w:p w:rsidR="00B61D47" w:rsidP="0041606B" w:rsidRDefault="00504895" w14:paraId="36B17038" w14:textId="2CCC666B">
      <w:pPr>
        <w:pStyle w:val="Heading2"/>
      </w:pPr>
      <w:r w:rsidRPr="0041606B">
        <w:t xml:space="preserve">PURPOSE </w:t>
      </w:r>
    </w:p>
    <w:p w:rsidRPr="0041606B" w:rsidR="0041606B" w:rsidP="0041606B" w:rsidRDefault="0041606B" w14:paraId="3881D43D" w14:textId="77777777">
      <w:pPr>
        <w:pBdr>
          <w:bottom w:val="single" w:color="0070C0" w:sz="12" w:space="1"/>
        </w:pBdr>
      </w:pPr>
    </w:p>
    <w:p w:rsidRPr="0041606B" w:rsidR="00504895" w:rsidP="00A33728" w:rsidRDefault="00504895" w14:paraId="5C1E75A9" w14:textId="77777777">
      <w:pPr>
        <w:autoSpaceDE w:val="0"/>
        <w:autoSpaceDN w:val="0"/>
        <w:adjustRightInd w:val="0"/>
        <w:spacing w:after="0" w:line="240" w:lineRule="auto"/>
        <w:jc w:val="both"/>
        <w:rPr>
          <w:rFonts w:ascii="Arial" w:hAnsi="Arial" w:cs="Arial"/>
          <w:szCs w:val="22"/>
        </w:rPr>
      </w:pPr>
    </w:p>
    <w:p w:rsidRPr="0041606B" w:rsidR="0055616A" w:rsidP="00A33728" w:rsidRDefault="0055616A" w14:paraId="3064DEAE" w14:textId="77777777">
      <w:pPr>
        <w:jc w:val="both"/>
        <w:rPr>
          <w:rFonts w:ascii="Arial" w:hAnsi="Arial" w:cs="Arial"/>
          <w:szCs w:val="22"/>
        </w:rPr>
      </w:pPr>
      <w:r w:rsidRPr="0041606B">
        <w:rPr>
          <w:rStyle w:val="normaltextrun"/>
          <w:rFonts w:ascii="Arial" w:hAnsi="Arial" w:cs="Arial"/>
          <w:color w:val="000000"/>
          <w:szCs w:val="22"/>
          <w:shd w:val="clear" w:color="auto" w:fill="FFFFFF"/>
          <w:lang w:val="en-US"/>
        </w:rPr>
        <w:t xml:space="preserve">The Local Heritage Fund Policy seeks to provide fair and consistent administration of the City of Kalgoorlie-Boulder’s Local Heritage Fund. The aim of the fund is to assist owners with the conservation and continued use of Heritage Places in line with current best practice and is based on the principles of the </w:t>
      </w:r>
      <w:proofErr w:type="spellStart"/>
      <w:r w:rsidRPr="0041606B">
        <w:rPr>
          <w:rStyle w:val="normaltextrun"/>
          <w:rFonts w:ascii="Arial" w:hAnsi="Arial" w:cs="Arial"/>
          <w:color w:val="000000"/>
          <w:szCs w:val="22"/>
          <w:shd w:val="clear" w:color="auto" w:fill="FFFFFF"/>
          <w:lang w:val="en-US"/>
        </w:rPr>
        <w:t>ICOMOS</w:t>
      </w:r>
      <w:proofErr w:type="spellEnd"/>
      <w:r w:rsidRPr="0041606B">
        <w:rPr>
          <w:rStyle w:val="normaltextrun"/>
          <w:rFonts w:ascii="Arial" w:hAnsi="Arial" w:cs="Arial"/>
          <w:color w:val="000000"/>
          <w:szCs w:val="22"/>
          <w:shd w:val="clear" w:color="auto" w:fill="FFFFFF"/>
          <w:lang w:val="en-US"/>
        </w:rPr>
        <w:t xml:space="preserve"> Burra Charter 2013.</w:t>
      </w:r>
      <w:r w:rsidRPr="0041606B">
        <w:rPr>
          <w:rStyle w:val="eop"/>
          <w:rFonts w:ascii="Arial" w:hAnsi="Arial" w:cs="Arial"/>
          <w:color w:val="000000"/>
          <w:szCs w:val="22"/>
          <w:shd w:val="clear" w:color="auto" w:fill="FFFFFF"/>
        </w:rPr>
        <w:t> </w:t>
      </w:r>
    </w:p>
    <w:p w:rsidRPr="0041606B" w:rsidR="00434027" w:rsidP="0041606B" w:rsidRDefault="00434027" w14:paraId="1AF9C20C" w14:textId="77777777">
      <w:pPr>
        <w:pStyle w:val="Heading2"/>
      </w:pPr>
    </w:p>
    <w:p w:rsidR="00973A61" w:rsidP="0041606B" w:rsidRDefault="00504895" w14:paraId="1A9374B1" w14:textId="076D7768">
      <w:pPr>
        <w:pStyle w:val="Heading2"/>
      </w:pPr>
      <w:r w:rsidRPr="0041606B">
        <w:t xml:space="preserve">OBJECTIVES </w:t>
      </w:r>
    </w:p>
    <w:p w:rsidRPr="0041606B" w:rsidR="0041606B" w:rsidP="0041606B" w:rsidRDefault="0041606B" w14:paraId="0D8A7A12" w14:textId="77777777">
      <w:pPr>
        <w:pBdr>
          <w:bottom w:val="single" w:color="0070C0" w:sz="12" w:space="1"/>
        </w:pBdr>
      </w:pPr>
    </w:p>
    <w:p w:rsidRPr="0041606B" w:rsidR="006A3CF9" w:rsidP="00A33728" w:rsidRDefault="006A3CF9" w14:paraId="53861ECC" w14:textId="77777777">
      <w:pPr>
        <w:jc w:val="both"/>
        <w:rPr>
          <w:rFonts w:ascii="Arial" w:hAnsi="Arial" w:cs="Arial"/>
          <w:szCs w:val="22"/>
        </w:rPr>
      </w:pPr>
      <w:r w:rsidRPr="0041606B">
        <w:rPr>
          <w:rFonts w:ascii="Arial" w:hAnsi="Arial" w:cs="Arial"/>
          <w:szCs w:val="22"/>
        </w:rPr>
        <w:t>1. Facilitate conservation works to places included in the Local Heritage Survey.</w:t>
      </w:r>
    </w:p>
    <w:p w:rsidRPr="0041606B" w:rsidR="006A3CF9" w:rsidP="00A33728" w:rsidRDefault="006A3CF9" w14:paraId="5B58511F" w14:textId="77777777">
      <w:pPr>
        <w:jc w:val="both"/>
        <w:rPr>
          <w:rFonts w:ascii="Arial" w:hAnsi="Arial" w:cs="Arial"/>
          <w:szCs w:val="22"/>
        </w:rPr>
      </w:pPr>
      <w:r w:rsidRPr="0041606B">
        <w:rPr>
          <w:rFonts w:ascii="Arial" w:hAnsi="Arial" w:cs="Arial"/>
          <w:szCs w:val="22"/>
        </w:rPr>
        <w:t>2. Conservation works are to be consistent with the place’s cultural heritage values.</w:t>
      </w:r>
    </w:p>
    <w:p w:rsidRPr="0041606B" w:rsidR="006A3CF9" w:rsidP="00A33728" w:rsidRDefault="006A3CF9" w14:paraId="662D0A5F" w14:textId="77777777">
      <w:pPr>
        <w:jc w:val="both"/>
        <w:rPr>
          <w:rFonts w:ascii="Arial" w:hAnsi="Arial" w:cs="Arial"/>
          <w:szCs w:val="22"/>
        </w:rPr>
      </w:pPr>
      <w:r w:rsidRPr="0041606B">
        <w:rPr>
          <w:rFonts w:ascii="Arial" w:hAnsi="Arial" w:cs="Arial"/>
          <w:szCs w:val="22"/>
        </w:rPr>
        <w:t>3. Ensure the ongoing preservation of local heritage values, character, history and amenity.</w:t>
      </w:r>
    </w:p>
    <w:p w:rsidRPr="0041606B" w:rsidR="00E66F45" w:rsidP="00A33728" w:rsidRDefault="00E66F45" w14:paraId="67FE83F8" w14:textId="77777777">
      <w:pPr>
        <w:jc w:val="both"/>
        <w:rPr>
          <w:rFonts w:ascii="Arial" w:hAnsi="Arial" w:cs="Arial"/>
          <w:szCs w:val="22"/>
        </w:rPr>
      </w:pPr>
      <w:r w:rsidRPr="0041606B">
        <w:rPr>
          <w:rFonts w:ascii="Arial" w:hAnsi="Arial" w:cs="Arial"/>
          <w:szCs w:val="22"/>
        </w:rPr>
        <w:t xml:space="preserve">The City Kalgoorlie-Boulder has set aside funds with the intention that they will be used for works that maintain and improve properties that are located within the City of Kalgoorlie-Boulder and are included on the City's Local Heritage Survey. </w:t>
      </w:r>
    </w:p>
    <w:p w:rsidR="008F5584" w:rsidP="0041606B" w:rsidRDefault="0041606B" w14:paraId="391AE0B0" w14:textId="6FD38AED">
      <w:pPr>
        <w:pStyle w:val="Heading2"/>
      </w:pPr>
      <w:r w:rsidRPr="0041606B">
        <w:t>RELATIONSHIP TO OTHER DOCUMENTS</w:t>
      </w:r>
    </w:p>
    <w:p w:rsidRPr="0041606B" w:rsidR="0041606B" w:rsidP="0041606B" w:rsidRDefault="0041606B" w14:paraId="21858EC6" w14:textId="77777777">
      <w:pPr>
        <w:pBdr>
          <w:bottom w:val="single" w:color="0070C0" w:sz="12" w:space="1"/>
        </w:pBdr>
      </w:pPr>
    </w:p>
    <w:p w:rsidRPr="0041606B" w:rsidR="00D87EE9" w:rsidP="00891FDD" w:rsidRDefault="008F5584" w14:paraId="4E3FA869" w14:textId="04AB3A87">
      <w:pPr>
        <w:autoSpaceDE w:val="0"/>
        <w:autoSpaceDN w:val="0"/>
        <w:adjustRightInd w:val="0"/>
        <w:spacing w:after="0" w:line="276" w:lineRule="auto"/>
        <w:jc w:val="both"/>
        <w:rPr>
          <w:rFonts w:ascii="Arial" w:hAnsi="Arial" w:cs="Arial"/>
          <w:kern w:val="0"/>
          <w:szCs w:val="22"/>
          <w:lang w:bidi="ar-SA"/>
        </w:rPr>
      </w:pPr>
      <w:r w:rsidRPr="0041606B">
        <w:rPr>
          <w:rFonts w:ascii="Arial" w:hAnsi="Arial" w:cs="Arial"/>
          <w:kern w:val="0"/>
          <w:szCs w:val="22"/>
          <w:lang w:bidi="ar-SA"/>
        </w:rPr>
        <w:t>This Local Planning Policy forms part of the City of Kalgoorlie</w:t>
      </w:r>
      <w:r w:rsidRPr="0041606B" w:rsidR="77934180">
        <w:rPr>
          <w:rFonts w:ascii="Arial" w:hAnsi="Arial" w:cs="Arial"/>
          <w:kern w:val="0"/>
          <w:szCs w:val="22"/>
          <w:lang w:bidi="ar-SA"/>
        </w:rPr>
        <w:t>-</w:t>
      </w:r>
      <w:proofErr w:type="gramStart"/>
      <w:r w:rsidRPr="0041606B" w:rsidR="77934180">
        <w:rPr>
          <w:rFonts w:ascii="Arial" w:hAnsi="Arial" w:cs="Arial"/>
          <w:kern w:val="0"/>
          <w:szCs w:val="22"/>
          <w:lang w:bidi="ar-SA"/>
        </w:rPr>
        <w:t>Boulder's</w:t>
      </w:r>
      <w:r w:rsidRPr="0041606B">
        <w:rPr>
          <w:rFonts w:ascii="Arial" w:hAnsi="Arial" w:cs="Arial"/>
          <w:kern w:val="0"/>
          <w:szCs w:val="22"/>
          <w:lang w:bidi="ar-SA"/>
        </w:rPr>
        <w:t>(</w:t>
      </w:r>
      <w:proofErr w:type="gramEnd"/>
      <w:r w:rsidRPr="0041606B">
        <w:rPr>
          <w:rFonts w:ascii="Arial" w:hAnsi="Arial" w:cs="Arial"/>
          <w:kern w:val="0"/>
          <w:szCs w:val="22"/>
          <w:lang w:bidi="ar-SA"/>
        </w:rPr>
        <w:t>the City) local planning policy framework. Where this Policy is inconsistent with the City’s local planning scheme, the local planning scheme prevails. Where this Policy is inconsistent with an adopted Loca</w:t>
      </w:r>
      <w:r w:rsidRPr="0041606B" w:rsidR="00817B68">
        <w:rPr>
          <w:rFonts w:ascii="Arial" w:hAnsi="Arial" w:cs="Arial"/>
          <w:kern w:val="0"/>
          <w:szCs w:val="22"/>
          <w:lang w:bidi="ar-SA"/>
        </w:rPr>
        <w:t>l D</w:t>
      </w:r>
      <w:r w:rsidRPr="0041606B">
        <w:rPr>
          <w:rFonts w:ascii="Arial" w:hAnsi="Arial" w:cs="Arial"/>
          <w:kern w:val="0"/>
          <w:szCs w:val="22"/>
          <w:lang w:bidi="ar-SA"/>
        </w:rPr>
        <w:t>evelopment Plan, Activity Centre Plan or Structure Plan, the adopted Local Development Plan, Activity Centre Plan or Structure Plan prevails. Where this Policy is inconsistent with the provisions of a specific Policy, Master Plan or Guidelines applying to a particular site or area, the provisions of that specific Policy, Master Plan or Guidelines shal</w:t>
      </w:r>
      <w:r w:rsidRPr="0041606B" w:rsidR="0E376413">
        <w:rPr>
          <w:rFonts w:ascii="Arial" w:hAnsi="Arial" w:cs="Arial"/>
          <w:kern w:val="0"/>
          <w:szCs w:val="22"/>
          <w:lang w:bidi="ar-SA"/>
        </w:rPr>
        <w:t xml:space="preserve">l </w:t>
      </w:r>
      <w:r w:rsidRPr="0041606B">
        <w:rPr>
          <w:rFonts w:ascii="Arial" w:hAnsi="Arial" w:cs="Arial"/>
          <w:kern w:val="0"/>
          <w:szCs w:val="22"/>
          <w:lang w:bidi="ar-SA"/>
        </w:rPr>
        <w:t>prevail.</w:t>
      </w:r>
    </w:p>
    <w:p w:rsidRPr="0041606B" w:rsidR="008F5584" w:rsidP="00891FDD" w:rsidRDefault="008F5584" w14:paraId="2D401C0D" w14:textId="77777777">
      <w:pPr>
        <w:autoSpaceDE w:val="0"/>
        <w:autoSpaceDN w:val="0"/>
        <w:adjustRightInd w:val="0"/>
        <w:spacing w:after="0" w:line="276" w:lineRule="auto"/>
        <w:jc w:val="both"/>
        <w:rPr>
          <w:rFonts w:ascii="Arial" w:hAnsi="Arial" w:cs="Arial"/>
          <w:kern w:val="0"/>
          <w:szCs w:val="22"/>
          <w:lang w:bidi="ar-SA"/>
        </w:rPr>
      </w:pPr>
    </w:p>
    <w:p w:rsidR="00FF07AF" w:rsidP="0041606B" w:rsidRDefault="0041606B" w14:paraId="5B7103EE" w14:textId="205E2098">
      <w:pPr>
        <w:pStyle w:val="Heading2"/>
        <w:rPr>
          <w:lang w:bidi="ar-SA"/>
        </w:rPr>
      </w:pPr>
      <w:r w:rsidRPr="0041606B">
        <w:rPr>
          <w:lang w:bidi="ar-SA"/>
        </w:rPr>
        <w:t>DEFINITIONS</w:t>
      </w:r>
    </w:p>
    <w:p w:rsidRPr="0041606B" w:rsidR="0041606B" w:rsidP="0041606B" w:rsidRDefault="0041606B" w14:paraId="50F66E1E" w14:textId="77777777">
      <w:pPr>
        <w:pBdr>
          <w:bottom w:val="single" w:color="0070C0" w:sz="12" w:space="1"/>
        </w:pBdr>
        <w:rPr>
          <w:lang w:bidi="ar-SA"/>
        </w:rPr>
      </w:pPr>
    </w:p>
    <w:p w:rsidRPr="0041606B" w:rsidR="00D94093" w:rsidP="00891FDD" w:rsidRDefault="00D94093" w14:paraId="62EE4643" w14:textId="77777777">
      <w:pPr>
        <w:autoSpaceDE w:val="0"/>
        <w:autoSpaceDN w:val="0"/>
        <w:adjustRightInd w:val="0"/>
        <w:spacing w:after="0" w:line="276" w:lineRule="auto"/>
        <w:jc w:val="both"/>
        <w:rPr>
          <w:rFonts w:ascii="Arial" w:hAnsi="Arial" w:cs="Arial"/>
          <w:b/>
          <w:bCs/>
          <w:kern w:val="0"/>
          <w:szCs w:val="22"/>
          <w:lang w:bidi="ar-SA"/>
        </w:rPr>
      </w:pPr>
    </w:p>
    <w:p w:rsidRPr="0041606B" w:rsidR="00FF07AF" w:rsidP="00FF07AF" w:rsidRDefault="00FF07AF" w14:paraId="5439B0A5" w14:textId="77777777">
      <w:pPr>
        <w:rPr>
          <w:rFonts w:ascii="Arial" w:hAnsi="Arial" w:cs="Arial"/>
          <w:szCs w:val="22"/>
        </w:rPr>
      </w:pPr>
      <w:r w:rsidRPr="0041606B">
        <w:rPr>
          <w:rFonts w:ascii="Arial" w:hAnsi="Arial" w:cs="Arial"/>
          <w:b/>
          <w:bCs/>
          <w:szCs w:val="22"/>
        </w:rPr>
        <w:t xml:space="preserve">CEO </w:t>
      </w:r>
      <w:r w:rsidRPr="0041606B">
        <w:rPr>
          <w:rFonts w:ascii="Arial" w:hAnsi="Arial" w:cs="Arial"/>
          <w:szCs w:val="22"/>
        </w:rPr>
        <w:t>means the Chief Executive Officer of the City.</w:t>
      </w:r>
    </w:p>
    <w:p w:rsidRPr="0041606B" w:rsidR="00FF07AF" w:rsidP="00FF07AF" w:rsidRDefault="00FF07AF" w14:paraId="443A85E1" w14:textId="77777777">
      <w:pPr>
        <w:rPr>
          <w:rFonts w:ascii="Arial" w:hAnsi="Arial" w:cs="Arial"/>
          <w:szCs w:val="22"/>
        </w:rPr>
      </w:pPr>
      <w:r w:rsidRPr="0041606B">
        <w:rPr>
          <w:rFonts w:ascii="Arial" w:hAnsi="Arial" w:cs="Arial"/>
          <w:b/>
          <w:bCs/>
          <w:szCs w:val="22"/>
        </w:rPr>
        <w:t>City</w:t>
      </w:r>
      <w:r w:rsidRPr="0041606B">
        <w:rPr>
          <w:rFonts w:ascii="Arial" w:hAnsi="Arial" w:cs="Arial"/>
          <w:szCs w:val="22"/>
        </w:rPr>
        <w:t xml:space="preserve"> means the City of Kalgoorlie-Boulder.</w:t>
      </w:r>
    </w:p>
    <w:p w:rsidRPr="0041606B" w:rsidR="006A3CF9" w:rsidP="00891FDD" w:rsidRDefault="00FF07AF" w14:paraId="705C671B" w14:textId="4180794B">
      <w:pPr>
        <w:autoSpaceDE w:val="0"/>
        <w:autoSpaceDN w:val="0"/>
        <w:adjustRightInd w:val="0"/>
        <w:spacing w:after="0" w:line="276" w:lineRule="auto"/>
        <w:jc w:val="both"/>
        <w:rPr>
          <w:rFonts w:ascii="Arial" w:hAnsi="Arial" w:cs="Arial"/>
          <w:kern w:val="0"/>
          <w:szCs w:val="22"/>
          <w:lang w:bidi="ar-SA"/>
        </w:rPr>
      </w:pPr>
      <w:r w:rsidRPr="0041606B">
        <w:rPr>
          <w:rStyle w:val="normaltextrun"/>
          <w:rFonts w:ascii="Arial" w:hAnsi="Arial" w:cs="Arial"/>
          <w:color w:val="000000"/>
          <w:szCs w:val="22"/>
          <w:shd w:val="clear" w:color="auto" w:fill="FFFFFF"/>
          <w:lang w:val="en-US"/>
        </w:rPr>
        <w:t>Refer also to the Local Heritage Fund Guidelines for additional definitions which apply to this policy</w:t>
      </w:r>
      <w:r w:rsidRPr="0041606B" w:rsidR="22E38AE0">
        <w:rPr>
          <w:rStyle w:val="normaltextrun"/>
          <w:rFonts w:ascii="Arial" w:hAnsi="Arial" w:cs="Arial"/>
          <w:color w:val="000000"/>
          <w:szCs w:val="22"/>
          <w:shd w:val="clear" w:color="auto" w:fill="FFFFFF"/>
          <w:lang w:val="en-US"/>
        </w:rPr>
        <w:t>.</w:t>
      </w:r>
    </w:p>
    <w:p w:rsidRPr="0041606B" w:rsidR="006A3CF9" w:rsidP="00891FDD" w:rsidRDefault="006A3CF9" w14:paraId="7BD3BDCE" w14:textId="77777777">
      <w:pPr>
        <w:autoSpaceDE w:val="0"/>
        <w:autoSpaceDN w:val="0"/>
        <w:adjustRightInd w:val="0"/>
        <w:spacing w:after="0" w:line="276" w:lineRule="auto"/>
        <w:jc w:val="both"/>
        <w:rPr>
          <w:rFonts w:ascii="Arial" w:hAnsi="Arial" w:cs="Arial"/>
          <w:kern w:val="0"/>
          <w:szCs w:val="22"/>
          <w:lang w:bidi="ar-SA"/>
        </w:rPr>
      </w:pPr>
    </w:p>
    <w:p w:rsidRPr="0041606B" w:rsidR="00284FF8" w:rsidP="0041606B" w:rsidRDefault="00284FF8" w14:paraId="139AEC9E" w14:textId="7481BF9D">
      <w:pPr>
        <w:pStyle w:val="Heading2"/>
        <w:numPr>
          <w:ilvl w:val="0"/>
          <w:numId w:val="28"/>
        </w:numPr>
        <w:rPr>
          <w:rStyle w:val="eop"/>
          <w:bCs w:val="0"/>
        </w:rPr>
      </w:pPr>
      <w:r w:rsidRPr="0041606B">
        <w:rPr>
          <w:rStyle w:val="normaltextrun"/>
        </w:rPr>
        <w:t>ELIGIBILITY</w:t>
      </w:r>
      <w:r w:rsidRPr="0041606B">
        <w:rPr>
          <w:rStyle w:val="eop"/>
        </w:rPr>
        <w:t> </w:t>
      </w:r>
    </w:p>
    <w:p w:rsidRPr="0041606B" w:rsidR="0041606B" w:rsidP="0041606B" w:rsidRDefault="0041606B" w14:paraId="5A203579" w14:textId="77777777">
      <w:pPr>
        <w:pBdr>
          <w:bottom w:val="single" w:color="0070C0" w:sz="12" w:space="1"/>
        </w:pBdr>
      </w:pPr>
    </w:p>
    <w:p w:rsidRPr="0041606B" w:rsidR="00284FF8" w:rsidP="00D94093" w:rsidRDefault="00284FF8" w14:paraId="39741F1F" w14:textId="77777777">
      <w:pPr>
        <w:pStyle w:val="paragraph"/>
        <w:spacing w:before="0" w:beforeAutospacing="0" w:after="160" w:afterAutospacing="0"/>
        <w:ind w:left="360"/>
        <w:jc w:val="both"/>
        <w:textAlignment w:val="baseline"/>
        <w:rPr>
          <w:rStyle w:val="eop"/>
          <w:rFonts w:ascii="Arial" w:hAnsi="Arial" w:cs="Arial" w:eastAsiaTheme="majorEastAsia"/>
          <w:sz w:val="22"/>
          <w:szCs w:val="22"/>
        </w:rPr>
      </w:pPr>
      <w:r w:rsidRPr="0041606B">
        <w:rPr>
          <w:rStyle w:val="normaltextrun"/>
          <w:rFonts w:ascii="Arial" w:hAnsi="Arial" w:cs="Arial"/>
          <w:sz w:val="22"/>
          <w:szCs w:val="22"/>
          <w:lang w:val="en-US"/>
        </w:rPr>
        <w:t xml:space="preserve">Projects considered for funding include: </w:t>
      </w:r>
    </w:p>
    <w:p w:rsidRPr="0041606B" w:rsidR="0078665F" w:rsidP="00D94093" w:rsidRDefault="0078665F" w14:paraId="548B20BE" w14:textId="77777777">
      <w:pPr>
        <w:pStyle w:val="ListParagraph"/>
        <w:numPr>
          <w:ilvl w:val="0"/>
          <w:numId w:val="17"/>
        </w:numPr>
        <w:spacing w:after="40" w:line="240" w:lineRule="auto"/>
        <w:contextualSpacing w:val="0"/>
        <w:rPr>
          <w:rFonts w:ascii="Arial" w:hAnsi="Arial" w:eastAsia="Times New Roman" w:cs="Arial"/>
          <w:szCs w:val="22"/>
        </w:rPr>
      </w:pPr>
      <w:r w:rsidRPr="0041606B">
        <w:rPr>
          <w:rFonts w:ascii="Arial" w:hAnsi="Arial" w:eastAsia="Times New Roman" w:cs="Arial"/>
          <w:szCs w:val="22"/>
        </w:rPr>
        <w:t xml:space="preserve">The painting or repainting of appropriate surfaces to the outside of the place. This does not include painting over previously unpainted exposed brickwork or other </w:t>
      </w:r>
      <w:proofErr w:type="gramStart"/>
      <w:r w:rsidRPr="0041606B">
        <w:rPr>
          <w:rFonts w:ascii="Arial" w:hAnsi="Arial" w:eastAsia="Times New Roman" w:cs="Arial"/>
          <w:szCs w:val="22"/>
        </w:rPr>
        <w:t>materials;</w:t>
      </w:r>
      <w:proofErr w:type="gramEnd"/>
    </w:p>
    <w:p w:rsidRPr="0041606B" w:rsidR="0078665F" w:rsidP="12AFAB92" w:rsidRDefault="0078665F" w14:paraId="15805FB5" w14:textId="395AD4A0">
      <w:pPr>
        <w:pStyle w:val="ListParagraph"/>
        <w:numPr>
          <w:ilvl w:val="0"/>
          <w:numId w:val="17"/>
        </w:numPr>
        <w:spacing w:after="40" w:line="240" w:lineRule="auto"/>
        <w:rPr>
          <w:rFonts w:ascii="Arial" w:hAnsi="Arial" w:eastAsia="Times New Roman" w:cs="Arial"/>
          <w:szCs w:val="22"/>
        </w:rPr>
      </w:pPr>
      <w:r w:rsidRPr="0041606B">
        <w:rPr>
          <w:rFonts w:ascii="Arial" w:hAnsi="Arial" w:eastAsia="Times New Roman" w:cs="Arial"/>
          <w:szCs w:val="22"/>
        </w:rPr>
        <w:t xml:space="preserve">Appropriate external conservation works such as, building conservation works; </w:t>
      </w:r>
      <w:proofErr w:type="spellStart"/>
      <w:r w:rsidRPr="0041606B">
        <w:rPr>
          <w:rFonts w:ascii="Arial" w:hAnsi="Arial" w:eastAsia="Times New Roman" w:cs="Arial"/>
          <w:szCs w:val="22"/>
        </w:rPr>
        <w:t>verandah</w:t>
      </w:r>
      <w:proofErr w:type="spellEnd"/>
      <w:r w:rsidRPr="0041606B">
        <w:rPr>
          <w:rFonts w:ascii="Arial" w:hAnsi="Arial" w:eastAsia="Times New Roman" w:cs="Arial"/>
          <w:szCs w:val="22"/>
        </w:rPr>
        <w:t xml:space="preserve"> reconstruction or repair; wall repair including structural repair; windows, doors and joinery repair or replacement</w:t>
      </w:r>
      <w:r w:rsidRPr="0041606B" w:rsidR="08CEA56F">
        <w:rPr>
          <w:rFonts w:ascii="Arial" w:hAnsi="Arial" w:eastAsia="Times New Roman" w:cs="Arial"/>
          <w:szCs w:val="22"/>
        </w:rPr>
        <w:t>,</w:t>
      </w:r>
      <w:r w:rsidRPr="0041606B">
        <w:rPr>
          <w:rFonts w:ascii="Arial" w:hAnsi="Arial" w:eastAsia="Times New Roman" w:cs="Arial"/>
          <w:szCs w:val="22"/>
        </w:rPr>
        <w:t xml:space="preserve"> and roof, including rainwater goods, repair or </w:t>
      </w:r>
      <w:proofErr w:type="gramStart"/>
      <w:r w:rsidRPr="0041606B">
        <w:rPr>
          <w:rFonts w:ascii="Arial" w:hAnsi="Arial" w:eastAsia="Times New Roman" w:cs="Arial"/>
          <w:szCs w:val="22"/>
        </w:rPr>
        <w:t>replacement;</w:t>
      </w:r>
      <w:proofErr w:type="gramEnd"/>
    </w:p>
    <w:p w:rsidRPr="0041606B" w:rsidR="0078665F" w:rsidP="00D94093" w:rsidRDefault="0078665F" w14:paraId="6BDB1AF2" w14:textId="77777777">
      <w:pPr>
        <w:pStyle w:val="ListParagraph"/>
        <w:numPr>
          <w:ilvl w:val="0"/>
          <w:numId w:val="17"/>
        </w:numPr>
        <w:spacing w:after="40" w:line="240" w:lineRule="auto"/>
        <w:contextualSpacing w:val="0"/>
        <w:rPr>
          <w:rFonts w:ascii="Arial" w:hAnsi="Arial" w:eastAsia="Times New Roman" w:cs="Arial"/>
          <w:szCs w:val="22"/>
        </w:rPr>
      </w:pPr>
      <w:r w:rsidRPr="0041606B">
        <w:rPr>
          <w:rFonts w:ascii="Arial" w:hAnsi="Arial" w:eastAsia="Times New Roman" w:cs="Arial"/>
          <w:szCs w:val="22"/>
        </w:rPr>
        <w:t xml:space="preserve">Fencing where there is clear historical evidence relating of the fence </w:t>
      </w:r>
      <w:proofErr w:type="gramStart"/>
      <w:r w:rsidRPr="0041606B">
        <w:rPr>
          <w:rFonts w:ascii="Arial" w:hAnsi="Arial" w:eastAsia="Times New Roman" w:cs="Arial"/>
          <w:szCs w:val="22"/>
        </w:rPr>
        <w:t>style;</w:t>
      </w:r>
      <w:proofErr w:type="gramEnd"/>
    </w:p>
    <w:p w:rsidRPr="0041606B" w:rsidR="0078665F" w:rsidP="00D94093" w:rsidRDefault="0078665F" w14:paraId="22A775E4" w14:textId="77777777">
      <w:pPr>
        <w:pStyle w:val="ListParagraph"/>
        <w:numPr>
          <w:ilvl w:val="0"/>
          <w:numId w:val="17"/>
        </w:numPr>
        <w:spacing w:after="40" w:line="240" w:lineRule="auto"/>
        <w:contextualSpacing w:val="0"/>
        <w:rPr>
          <w:rFonts w:ascii="Arial" w:hAnsi="Arial" w:eastAsia="Times New Roman" w:cs="Arial"/>
          <w:szCs w:val="22"/>
        </w:rPr>
      </w:pPr>
      <w:r w:rsidRPr="0041606B">
        <w:rPr>
          <w:rFonts w:ascii="Arial" w:hAnsi="Arial" w:eastAsia="Times New Roman" w:cs="Arial"/>
          <w:szCs w:val="22"/>
        </w:rPr>
        <w:t xml:space="preserve">Shopfront conservation works, including reconstruction, to commercial </w:t>
      </w:r>
      <w:proofErr w:type="gramStart"/>
      <w:r w:rsidRPr="0041606B">
        <w:rPr>
          <w:rFonts w:ascii="Arial" w:hAnsi="Arial" w:eastAsia="Times New Roman" w:cs="Arial"/>
          <w:szCs w:val="22"/>
        </w:rPr>
        <w:t>premises;</w:t>
      </w:r>
      <w:proofErr w:type="gramEnd"/>
    </w:p>
    <w:p w:rsidRPr="0041606B" w:rsidR="0078665F" w:rsidP="00D94093" w:rsidRDefault="0078665F" w14:paraId="130018BA" w14:textId="77777777">
      <w:pPr>
        <w:pStyle w:val="ListParagraph"/>
        <w:numPr>
          <w:ilvl w:val="0"/>
          <w:numId w:val="17"/>
        </w:numPr>
        <w:spacing w:after="40" w:line="240" w:lineRule="auto"/>
        <w:contextualSpacing w:val="0"/>
        <w:rPr>
          <w:rFonts w:ascii="Arial" w:hAnsi="Arial" w:eastAsia="Times New Roman" w:cs="Arial"/>
          <w:szCs w:val="22"/>
        </w:rPr>
      </w:pPr>
      <w:r w:rsidRPr="0041606B">
        <w:rPr>
          <w:rFonts w:ascii="Arial" w:hAnsi="Arial" w:eastAsia="Times New Roman" w:cs="Arial"/>
          <w:szCs w:val="22"/>
        </w:rPr>
        <w:t>Conservation Management Plans or Conservation Management Strategies; and</w:t>
      </w:r>
    </w:p>
    <w:p w:rsidRPr="0041606B" w:rsidR="0078665F" w:rsidP="00D94093" w:rsidRDefault="0078665F" w14:paraId="6229CB62" w14:textId="77777777">
      <w:pPr>
        <w:pStyle w:val="ListParagraph"/>
        <w:numPr>
          <w:ilvl w:val="0"/>
          <w:numId w:val="17"/>
        </w:numPr>
        <w:spacing w:after="40" w:line="240" w:lineRule="auto"/>
        <w:contextualSpacing w:val="0"/>
        <w:rPr>
          <w:rFonts w:ascii="Arial" w:hAnsi="Arial" w:eastAsia="Times New Roman" w:cs="Arial"/>
          <w:szCs w:val="22"/>
        </w:rPr>
      </w:pPr>
      <w:r w:rsidRPr="0041606B">
        <w:rPr>
          <w:rFonts w:ascii="Arial" w:hAnsi="Arial" w:eastAsia="Times New Roman" w:cs="Arial"/>
          <w:szCs w:val="22"/>
        </w:rPr>
        <w:t>Other projects or works approved by Council as part of an overall heritage conservation, improvement or heritage interpretation program. Any works component will not involve the alteration of, or addition to, existing buildings.</w:t>
      </w:r>
    </w:p>
    <w:p w:rsidRPr="0041606B" w:rsidR="00D94093" w:rsidP="00D94093" w:rsidRDefault="00D94093" w14:paraId="6F454F97" w14:textId="77777777">
      <w:pPr>
        <w:ind w:left="360"/>
        <w:rPr>
          <w:rFonts w:ascii="Arial" w:hAnsi="Arial" w:cs="Arial"/>
          <w:b/>
          <w:bCs/>
          <w:szCs w:val="22"/>
        </w:rPr>
      </w:pPr>
    </w:p>
    <w:p w:rsidRPr="0041606B" w:rsidR="00C054B3" w:rsidP="00D94093" w:rsidRDefault="00C054B3" w14:paraId="20E474AD" w14:textId="3557402A">
      <w:pPr>
        <w:ind w:left="360"/>
        <w:rPr>
          <w:rFonts w:ascii="Arial" w:hAnsi="Arial" w:cs="Arial"/>
          <w:b/>
          <w:bCs/>
          <w:szCs w:val="22"/>
        </w:rPr>
      </w:pPr>
      <w:r w:rsidRPr="0041606B">
        <w:rPr>
          <w:rFonts w:ascii="Arial" w:hAnsi="Arial" w:cs="Arial"/>
          <w:b/>
          <w:bCs/>
          <w:szCs w:val="22"/>
        </w:rPr>
        <w:t xml:space="preserve">Excluded Projects / Works </w:t>
      </w:r>
    </w:p>
    <w:p w:rsidRPr="0041606B" w:rsidR="00C054B3" w:rsidP="00D94093" w:rsidRDefault="00C054B3" w14:paraId="775CDF98" w14:textId="77777777">
      <w:pPr>
        <w:pStyle w:val="ListParagraph"/>
        <w:numPr>
          <w:ilvl w:val="0"/>
          <w:numId w:val="18"/>
        </w:numPr>
        <w:spacing w:after="40" w:line="240" w:lineRule="auto"/>
        <w:contextualSpacing w:val="0"/>
        <w:rPr>
          <w:rFonts w:ascii="Arial" w:hAnsi="Arial" w:eastAsia="Times New Roman" w:cs="Arial"/>
          <w:szCs w:val="22"/>
        </w:rPr>
      </w:pPr>
      <w:r w:rsidRPr="0041606B">
        <w:rPr>
          <w:rFonts w:ascii="Arial" w:hAnsi="Arial" w:eastAsia="Times New Roman" w:cs="Arial"/>
          <w:szCs w:val="22"/>
        </w:rPr>
        <w:t xml:space="preserve">Internal fixtures and </w:t>
      </w:r>
      <w:proofErr w:type="gramStart"/>
      <w:r w:rsidRPr="0041606B">
        <w:rPr>
          <w:rFonts w:ascii="Arial" w:hAnsi="Arial" w:eastAsia="Times New Roman" w:cs="Arial"/>
          <w:szCs w:val="22"/>
        </w:rPr>
        <w:t>fittings;</w:t>
      </w:r>
      <w:proofErr w:type="gramEnd"/>
    </w:p>
    <w:p w:rsidRPr="0041606B" w:rsidR="00C054B3" w:rsidP="00D94093" w:rsidRDefault="00C054B3" w14:paraId="6FA78964" w14:textId="77777777">
      <w:pPr>
        <w:pStyle w:val="ListParagraph"/>
        <w:numPr>
          <w:ilvl w:val="0"/>
          <w:numId w:val="18"/>
        </w:numPr>
        <w:spacing w:after="40" w:line="240" w:lineRule="auto"/>
        <w:contextualSpacing w:val="0"/>
        <w:rPr>
          <w:rFonts w:ascii="Arial" w:hAnsi="Arial" w:eastAsia="Times New Roman" w:cs="Arial"/>
          <w:szCs w:val="22"/>
        </w:rPr>
      </w:pPr>
      <w:proofErr w:type="gramStart"/>
      <w:r w:rsidRPr="0041606B">
        <w:rPr>
          <w:rFonts w:ascii="Arial" w:hAnsi="Arial" w:eastAsia="Times New Roman" w:cs="Arial"/>
          <w:szCs w:val="22"/>
        </w:rPr>
        <w:t>Landscaping;</w:t>
      </w:r>
      <w:proofErr w:type="gramEnd"/>
    </w:p>
    <w:p w:rsidRPr="0041606B" w:rsidR="00C054B3" w:rsidP="00D94093" w:rsidRDefault="00C054B3" w14:paraId="2B2D09B5" w14:textId="77777777">
      <w:pPr>
        <w:pStyle w:val="ListParagraph"/>
        <w:numPr>
          <w:ilvl w:val="0"/>
          <w:numId w:val="18"/>
        </w:numPr>
        <w:spacing w:after="40" w:line="240" w:lineRule="auto"/>
        <w:contextualSpacing w:val="0"/>
        <w:rPr>
          <w:rFonts w:ascii="Arial" w:hAnsi="Arial" w:eastAsia="Times New Roman" w:cs="Arial"/>
          <w:szCs w:val="22"/>
        </w:rPr>
      </w:pPr>
      <w:r w:rsidRPr="0041606B">
        <w:rPr>
          <w:rFonts w:ascii="Arial" w:hAnsi="Arial" w:eastAsia="Times New Roman" w:cs="Arial"/>
          <w:szCs w:val="22"/>
        </w:rPr>
        <w:t xml:space="preserve">Works involving the demolition of a </w:t>
      </w:r>
      <w:proofErr w:type="gramStart"/>
      <w:r w:rsidRPr="0041606B">
        <w:rPr>
          <w:rFonts w:ascii="Arial" w:hAnsi="Arial" w:eastAsia="Times New Roman" w:cs="Arial"/>
          <w:szCs w:val="22"/>
        </w:rPr>
        <w:t>building;</w:t>
      </w:r>
      <w:proofErr w:type="gramEnd"/>
    </w:p>
    <w:p w:rsidRPr="0041606B" w:rsidR="00C054B3" w:rsidP="12AFAB92" w:rsidRDefault="00C054B3" w14:paraId="41D45F18" w14:textId="37DF0216">
      <w:pPr>
        <w:pStyle w:val="ListParagraph"/>
        <w:numPr>
          <w:ilvl w:val="0"/>
          <w:numId w:val="18"/>
        </w:numPr>
        <w:spacing w:after="40" w:line="240" w:lineRule="auto"/>
        <w:rPr>
          <w:rFonts w:ascii="Arial" w:hAnsi="Arial" w:eastAsia="Times New Roman" w:cs="Arial"/>
          <w:szCs w:val="22"/>
        </w:rPr>
      </w:pPr>
      <w:r w:rsidRPr="0041606B">
        <w:rPr>
          <w:rFonts w:ascii="Arial" w:hAnsi="Arial" w:eastAsia="Times New Roman" w:cs="Arial"/>
          <w:szCs w:val="22"/>
        </w:rPr>
        <w:t>Signage, unless forming part of the place</w:t>
      </w:r>
      <w:r w:rsidRPr="0041606B" w:rsidR="28301F4F">
        <w:rPr>
          <w:rFonts w:ascii="Arial" w:hAnsi="Arial" w:eastAsia="Times New Roman" w:cs="Arial"/>
          <w:szCs w:val="22"/>
        </w:rPr>
        <w:t>’</w:t>
      </w:r>
      <w:r w:rsidRPr="0041606B">
        <w:rPr>
          <w:rFonts w:ascii="Arial" w:hAnsi="Arial" w:eastAsia="Times New Roman" w:cs="Arial"/>
          <w:szCs w:val="22"/>
        </w:rPr>
        <w:t>s cultural heritage values</w:t>
      </w:r>
      <w:r w:rsidRPr="0041606B" w:rsidR="653B9458">
        <w:rPr>
          <w:rFonts w:ascii="Arial" w:hAnsi="Arial" w:eastAsia="Times New Roman" w:cs="Arial"/>
          <w:szCs w:val="22"/>
        </w:rPr>
        <w:t>,</w:t>
      </w:r>
      <w:r w:rsidRPr="0041606B">
        <w:rPr>
          <w:rFonts w:ascii="Arial" w:hAnsi="Arial" w:eastAsia="Times New Roman" w:cs="Arial"/>
          <w:szCs w:val="22"/>
        </w:rPr>
        <w:t xml:space="preserve"> or is approved as part of a place</w:t>
      </w:r>
      <w:r w:rsidRPr="0041606B" w:rsidR="4F8F22BB">
        <w:rPr>
          <w:rFonts w:ascii="Arial" w:hAnsi="Arial" w:eastAsia="Times New Roman" w:cs="Arial"/>
          <w:szCs w:val="22"/>
        </w:rPr>
        <w:t>’</w:t>
      </w:r>
      <w:r w:rsidRPr="0041606B">
        <w:rPr>
          <w:rFonts w:ascii="Arial" w:hAnsi="Arial" w:eastAsia="Times New Roman" w:cs="Arial"/>
          <w:szCs w:val="22"/>
        </w:rPr>
        <w:t xml:space="preserve">s heritage </w:t>
      </w:r>
      <w:proofErr w:type="gramStart"/>
      <w:r w:rsidRPr="0041606B">
        <w:rPr>
          <w:rFonts w:ascii="Arial" w:hAnsi="Arial" w:eastAsia="Times New Roman" w:cs="Arial"/>
          <w:szCs w:val="22"/>
        </w:rPr>
        <w:t>interpretation;</w:t>
      </w:r>
      <w:proofErr w:type="gramEnd"/>
    </w:p>
    <w:p w:rsidRPr="0041606B" w:rsidR="00C054B3" w:rsidP="00D94093" w:rsidRDefault="00C054B3" w14:paraId="3A6811F4" w14:textId="77777777">
      <w:pPr>
        <w:pStyle w:val="ListParagraph"/>
        <w:numPr>
          <w:ilvl w:val="0"/>
          <w:numId w:val="18"/>
        </w:numPr>
        <w:spacing w:after="40" w:line="240" w:lineRule="auto"/>
        <w:contextualSpacing w:val="0"/>
        <w:rPr>
          <w:rFonts w:ascii="Arial" w:hAnsi="Arial" w:eastAsia="Times New Roman" w:cs="Arial"/>
          <w:szCs w:val="22"/>
        </w:rPr>
      </w:pPr>
      <w:r w:rsidRPr="0041606B">
        <w:rPr>
          <w:rFonts w:ascii="Arial" w:hAnsi="Arial" w:eastAsia="Times New Roman" w:cs="Arial"/>
          <w:szCs w:val="22"/>
        </w:rPr>
        <w:t>New additions, extensions or redevelopments; and</w:t>
      </w:r>
    </w:p>
    <w:p w:rsidRPr="0041606B" w:rsidR="0078665F" w:rsidP="589FD55D" w:rsidRDefault="0078665F" w14:paraId="72624C53" w14:textId="015A48AF">
      <w:pPr>
        <w:pStyle w:val="ListParagraph"/>
        <w:numPr>
          <w:ilvl w:val="0"/>
          <w:numId w:val="18"/>
        </w:numPr>
        <w:spacing w:before="0" w:beforeAutospacing="0" w:after="40" w:afterAutospacing="0" w:line="240" w:lineRule="auto"/>
        <w:ind/>
        <w:textAlignment w:val="baseline"/>
        <w:rPr>
          <w:rFonts w:ascii="Arial" w:hAnsi="Arial" w:eastAsia="Times New Roman" w:cs="Arial"/>
        </w:rPr>
      </w:pPr>
      <w:r w:rsidRPr="589FD55D" w:rsidR="00C054B3">
        <w:rPr>
          <w:rFonts w:ascii="Arial" w:hAnsi="Arial" w:eastAsia="Times New Roman" w:cs="Arial"/>
        </w:rPr>
        <w:t>In</w:t>
      </w:r>
      <w:r w:rsidRPr="589FD55D" w:rsidR="3F87D0DF">
        <w:rPr>
          <w:rFonts w:ascii="Arial" w:hAnsi="Arial" w:eastAsia="Times New Roman" w:cs="Arial"/>
        </w:rPr>
        <w:t>-</w:t>
      </w:r>
      <w:r w:rsidRPr="589FD55D" w:rsidR="00C054B3">
        <w:rPr>
          <w:rFonts w:ascii="Arial" w:hAnsi="Arial" w:eastAsia="Times New Roman" w:cs="Arial"/>
        </w:rPr>
        <w:t>kind contributions.</w:t>
      </w:r>
    </w:p>
    <w:p w:rsidR="589FD55D" w:rsidP="589FD55D" w:rsidRDefault="589FD55D" w14:paraId="701F69AC" w14:textId="51E66D91">
      <w:pPr>
        <w:pStyle w:val="Normal"/>
        <w:spacing w:after="40" w:line="240" w:lineRule="auto"/>
        <w:ind w:left="0"/>
        <w:rPr>
          <w:rFonts w:ascii="Arial" w:hAnsi="Arial" w:eastAsia="Times New Roman" w:cs="Arial"/>
        </w:rPr>
      </w:pPr>
    </w:p>
    <w:p w:rsidRPr="0041606B" w:rsidR="001D44FE" w:rsidP="001D44FE" w:rsidRDefault="001D44FE" w14:paraId="751519F2" w14:textId="77777777">
      <w:pPr>
        <w:pStyle w:val="paragraph"/>
        <w:spacing w:before="0" w:beforeAutospacing="0" w:after="160" w:afterAutospacing="0"/>
        <w:ind w:left="567"/>
        <w:jc w:val="both"/>
        <w:textAlignment w:val="baseline"/>
        <w:rPr>
          <w:rFonts w:ascii="Arial" w:hAnsi="Arial" w:cs="Arial"/>
          <w:sz w:val="22"/>
          <w:szCs w:val="22"/>
        </w:rPr>
      </w:pPr>
      <w:r w:rsidRPr="589FD55D" w:rsidR="001D44FE">
        <w:rPr>
          <w:rStyle w:val="normaltextrun"/>
          <w:rFonts w:ascii="Arial" w:hAnsi="Arial" w:cs="Arial"/>
          <w:sz w:val="22"/>
          <w:szCs w:val="22"/>
          <w:lang w:val="en-US"/>
        </w:rPr>
        <w:t>The above eligibility will be used to determine which applications are recommended for funding on a competitive basis.</w:t>
      </w:r>
      <w:r w:rsidRPr="589FD55D" w:rsidR="001D44FE">
        <w:rPr>
          <w:rStyle w:val="eop"/>
          <w:rFonts w:ascii="Arial" w:hAnsi="Arial" w:eastAsia="等线 Light" w:cs="Arial" w:eastAsiaTheme="majorEastAsia"/>
          <w:sz w:val="22"/>
          <w:szCs w:val="22"/>
        </w:rPr>
        <w:t> </w:t>
      </w:r>
    </w:p>
    <w:p w:rsidR="589FD55D" w:rsidP="589FD55D" w:rsidRDefault="589FD55D" w14:paraId="74B5A132" w14:textId="76958D38">
      <w:pPr>
        <w:pStyle w:val="paragraph"/>
        <w:spacing w:before="0" w:beforeAutospacing="off" w:after="160" w:afterAutospacing="off"/>
        <w:ind w:left="567"/>
        <w:jc w:val="both"/>
        <w:rPr>
          <w:rStyle w:val="eop"/>
          <w:rFonts w:ascii="Arial" w:hAnsi="Arial" w:eastAsia="等线 Light" w:cs="Arial" w:eastAsiaTheme="majorEastAsia"/>
          <w:sz w:val="22"/>
          <w:szCs w:val="22"/>
        </w:rPr>
      </w:pPr>
    </w:p>
    <w:p w:rsidR="001D44FE" w:rsidP="0041606B" w:rsidRDefault="00D94093" w14:paraId="459153F2" w14:textId="317285F8">
      <w:pPr>
        <w:pStyle w:val="Heading2"/>
        <w:numPr>
          <w:ilvl w:val="0"/>
          <w:numId w:val="28"/>
        </w:numPr>
        <w:rPr>
          <w:rStyle w:val="normaltextrun"/>
        </w:rPr>
      </w:pPr>
      <w:r w:rsidRPr="0041606B">
        <w:rPr>
          <w:rStyle w:val="normaltextrun"/>
        </w:rPr>
        <w:t>ASSESSMENT AND ADMINISTRATION</w:t>
      </w:r>
      <w:r w:rsidRPr="0041606B" w:rsidR="001D44FE">
        <w:rPr>
          <w:rStyle w:val="normaltextrun"/>
        </w:rPr>
        <w:t> </w:t>
      </w:r>
    </w:p>
    <w:p w:rsidRPr="0041606B" w:rsidR="0041606B" w:rsidP="0041606B" w:rsidRDefault="0041606B" w14:paraId="3B1E8A61" w14:textId="77777777">
      <w:pPr>
        <w:pBdr>
          <w:bottom w:val="single" w:color="0070C0" w:sz="12" w:space="1"/>
        </w:pBdr>
        <w:rPr>
          <w:lang w:val="en-US"/>
        </w:rPr>
      </w:pPr>
    </w:p>
    <w:p w:rsidRPr="0041606B" w:rsidR="00D94093" w:rsidP="00D94093" w:rsidRDefault="00D94093" w14:paraId="769EACEA" w14:textId="77777777">
      <w:pPr>
        <w:pStyle w:val="paragraph"/>
        <w:spacing w:before="0" w:beforeAutospacing="0" w:after="160" w:afterAutospacing="0"/>
        <w:ind w:left="567"/>
        <w:jc w:val="both"/>
        <w:textAlignment w:val="baseline"/>
        <w:rPr>
          <w:rStyle w:val="normaltextrun"/>
          <w:rFonts w:ascii="Arial" w:hAnsi="Arial" w:cs="Arial"/>
          <w:sz w:val="22"/>
          <w:szCs w:val="22"/>
          <w:lang w:val="en-US"/>
        </w:rPr>
      </w:pPr>
      <w:r w:rsidRPr="0041606B">
        <w:rPr>
          <w:rStyle w:val="normaltextrun"/>
          <w:rFonts w:ascii="Arial" w:hAnsi="Arial" w:cs="Arial"/>
          <w:sz w:val="22"/>
          <w:szCs w:val="22"/>
          <w:lang w:val="en-US"/>
        </w:rPr>
        <w:t xml:space="preserve">Grant applications are advertised annually by the </w:t>
      </w:r>
      <w:proofErr w:type="gramStart"/>
      <w:r w:rsidRPr="0041606B">
        <w:rPr>
          <w:rStyle w:val="normaltextrun"/>
          <w:rFonts w:ascii="Arial" w:hAnsi="Arial" w:cs="Arial"/>
          <w:sz w:val="22"/>
          <w:szCs w:val="22"/>
          <w:lang w:val="en-US"/>
        </w:rPr>
        <w:t>City</w:t>
      </w:r>
      <w:proofErr w:type="gramEnd"/>
      <w:r w:rsidRPr="0041606B">
        <w:rPr>
          <w:rStyle w:val="normaltextrun"/>
          <w:rFonts w:ascii="Arial" w:hAnsi="Arial" w:cs="Arial"/>
          <w:sz w:val="22"/>
          <w:szCs w:val="22"/>
          <w:lang w:val="en-US"/>
        </w:rPr>
        <w:t>. The program is a competitive process.</w:t>
      </w:r>
    </w:p>
    <w:p w:rsidRPr="0041606B" w:rsidR="00D94093" w:rsidP="00D94093" w:rsidRDefault="00D94093" w14:paraId="405C9348" w14:textId="77777777">
      <w:pPr>
        <w:pStyle w:val="paragraph"/>
        <w:spacing w:before="0" w:beforeAutospacing="0" w:after="160" w:afterAutospacing="0"/>
        <w:ind w:left="567"/>
        <w:jc w:val="both"/>
        <w:textAlignment w:val="baseline"/>
        <w:rPr>
          <w:rStyle w:val="normaltextrun"/>
          <w:rFonts w:ascii="Arial" w:hAnsi="Arial" w:cs="Arial"/>
          <w:sz w:val="22"/>
          <w:szCs w:val="22"/>
          <w:lang w:val="en-US"/>
        </w:rPr>
      </w:pPr>
      <w:r w:rsidRPr="0041606B">
        <w:rPr>
          <w:rStyle w:val="normaltextrun"/>
          <w:rFonts w:ascii="Arial" w:hAnsi="Arial" w:cs="Arial"/>
          <w:sz w:val="22"/>
          <w:szCs w:val="22"/>
          <w:lang w:val="en-US"/>
        </w:rPr>
        <w:t xml:space="preserve">The City reserves the right to award none, some or </w:t>
      </w:r>
      <w:proofErr w:type="gramStart"/>
      <w:r w:rsidRPr="0041606B">
        <w:rPr>
          <w:rStyle w:val="normaltextrun"/>
          <w:rFonts w:ascii="Arial" w:hAnsi="Arial" w:cs="Arial"/>
          <w:sz w:val="22"/>
          <w:szCs w:val="22"/>
          <w:lang w:val="en-US"/>
        </w:rPr>
        <w:t>all of</w:t>
      </w:r>
      <w:proofErr w:type="gramEnd"/>
      <w:r w:rsidRPr="0041606B">
        <w:rPr>
          <w:rStyle w:val="normaltextrun"/>
          <w:rFonts w:ascii="Arial" w:hAnsi="Arial" w:cs="Arial"/>
          <w:sz w:val="22"/>
          <w:szCs w:val="22"/>
          <w:lang w:val="en-US"/>
        </w:rPr>
        <w:t xml:space="preserve"> the funding being requested through the application process.</w:t>
      </w:r>
    </w:p>
    <w:p w:rsidRPr="0041606B" w:rsidR="00D94093" w:rsidP="00D94093" w:rsidRDefault="00D94093" w14:paraId="3A8AF7D0" w14:textId="77777777">
      <w:pPr>
        <w:pStyle w:val="paragraph"/>
        <w:spacing w:before="0" w:beforeAutospacing="0" w:after="160" w:afterAutospacing="0"/>
        <w:ind w:left="567"/>
        <w:jc w:val="both"/>
        <w:textAlignment w:val="baseline"/>
        <w:rPr>
          <w:rStyle w:val="normaltextrun"/>
          <w:rFonts w:ascii="Arial" w:hAnsi="Arial" w:cs="Arial"/>
          <w:sz w:val="22"/>
          <w:szCs w:val="22"/>
          <w:lang w:val="en-US"/>
        </w:rPr>
      </w:pPr>
      <w:r w:rsidRPr="0041606B">
        <w:rPr>
          <w:rStyle w:val="normaltextrun"/>
          <w:rFonts w:ascii="Arial" w:hAnsi="Arial" w:cs="Arial"/>
          <w:sz w:val="22"/>
          <w:szCs w:val="22"/>
          <w:lang w:val="en-US"/>
        </w:rPr>
        <w:t>Successful applicants are still required to submit and gain all necessary statutory approvals for their project or works.</w:t>
      </w:r>
    </w:p>
    <w:p w:rsidRPr="0041606B" w:rsidR="00D94093" w:rsidP="00D94093" w:rsidRDefault="00D94093" w14:paraId="0051CB6C" w14:textId="77777777">
      <w:pPr>
        <w:spacing w:line="240" w:lineRule="auto"/>
        <w:ind w:left="567"/>
        <w:jc w:val="both"/>
        <w:textAlignment w:val="baseline"/>
        <w:rPr>
          <w:rFonts w:ascii="Arial" w:hAnsi="Arial" w:eastAsia="Times New Roman" w:cs="Arial"/>
          <w:szCs w:val="22"/>
          <w:u w:val="single"/>
          <w:lang w:val="en-US" w:eastAsia="en-AU"/>
        </w:rPr>
      </w:pPr>
      <w:r w:rsidRPr="0041606B">
        <w:rPr>
          <w:rFonts w:ascii="Arial" w:hAnsi="Arial" w:eastAsia="Times New Roman" w:cs="Arial"/>
          <w:szCs w:val="22"/>
          <w:u w:val="single"/>
          <w:lang w:val="en-US" w:eastAsia="en-AU"/>
        </w:rPr>
        <w:t>Conservation Works </w:t>
      </w:r>
    </w:p>
    <w:p w:rsidRPr="0041606B" w:rsidR="00D94093" w:rsidP="00D94093" w:rsidRDefault="00D94093" w14:paraId="5CF58E14" w14:textId="77777777">
      <w:pPr>
        <w:numPr>
          <w:ilvl w:val="0"/>
          <w:numId w:val="19"/>
        </w:numPr>
        <w:tabs>
          <w:tab w:val="clear" w:pos="720"/>
          <w:tab w:val="num" w:pos="1134"/>
        </w:tabs>
        <w:spacing w:line="240" w:lineRule="auto"/>
        <w:ind w:left="1110" w:hanging="543"/>
        <w:jc w:val="both"/>
        <w:textAlignment w:val="baseline"/>
        <w:rPr>
          <w:rFonts w:ascii="Arial" w:hAnsi="Arial" w:eastAsia="Times New Roman" w:cs="Arial"/>
          <w:szCs w:val="22"/>
          <w:lang w:val="en-US" w:eastAsia="en-AU"/>
        </w:rPr>
      </w:pPr>
      <w:r w:rsidRPr="0041606B">
        <w:rPr>
          <w:rFonts w:ascii="Arial" w:hAnsi="Arial" w:eastAsia="Times New Roman" w:cs="Arial"/>
          <w:szCs w:val="22"/>
          <w:lang w:val="en-US" w:eastAsia="en-AU"/>
        </w:rPr>
        <w:t xml:space="preserve">Funding is for conservation works only. These works must be in accordance with current best practice and the principles of the </w:t>
      </w:r>
      <w:proofErr w:type="spellStart"/>
      <w:r w:rsidRPr="0041606B">
        <w:rPr>
          <w:rFonts w:ascii="Arial" w:hAnsi="Arial" w:eastAsia="Times New Roman" w:cs="Arial"/>
          <w:szCs w:val="22"/>
          <w:lang w:val="en-US" w:eastAsia="en-AU"/>
        </w:rPr>
        <w:t>ICOMOS</w:t>
      </w:r>
      <w:proofErr w:type="spellEnd"/>
      <w:r w:rsidRPr="0041606B">
        <w:rPr>
          <w:rFonts w:ascii="Arial" w:hAnsi="Arial" w:eastAsia="Times New Roman" w:cs="Arial"/>
          <w:szCs w:val="22"/>
          <w:lang w:val="en-US" w:eastAsia="en-AU"/>
        </w:rPr>
        <w:t xml:space="preserve"> Burra Charter </w:t>
      </w:r>
      <w:proofErr w:type="gramStart"/>
      <w:r w:rsidRPr="0041606B">
        <w:rPr>
          <w:rFonts w:ascii="Arial" w:hAnsi="Arial" w:eastAsia="Times New Roman" w:cs="Arial"/>
          <w:szCs w:val="22"/>
          <w:lang w:val="en-US" w:eastAsia="en-AU"/>
        </w:rPr>
        <w:t>2013;</w:t>
      </w:r>
      <w:proofErr w:type="gramEnd"/>
      <w:r w:rsidRPr="0041606B">
        <w:rPr>
          <w:rFonts w:ascii="Arial" w:hAnsi="Arial" w:eastAsia="Times New Roman" w:cs="Arial"/>
          <w:szCs w:val="22"/>
          <w:lang w:val="en-US" w:eastAsia="en-AU"/>
        </w:rPr>
        <w:t> </w:t>
      </w:r>
    </w:p>
    <w:p w:rsidRPr="0041606B" w:rsidR="00D94093" w:rsidP="00D94093" w:rsidRDefault="00D94093" w14:paraId="535876AC" w14:textId="77777777">
      <w:pPr>
        <w:numPr>
          <w:ilvl w:val="0"/>
          <w:numId w:val="19"/>
        </w:numPr>
        <w:tabs>
          <w:tab w:val="clear" w:pos="720"/>
          <w:tab w:val="num" w:pos="1134"/>
        </w:tabs>
        <w:spacing w:line="240" w:lineRule="auto"/>
        <w:ind w:left="1110" w:hanging="543"/>
        <w:jc w:val="both"/>
        <w:textAlignment w:val="baseline"/>
        <w:rPr>
          <w:rFonts w:ascii="Arial" w:hAnsi="Arial" w:eastAsia="Times New Roman" w:cs="Arial"/>
          <w:szCs w:val="22"/>
          <w:lang w:val="en-US" w:eastAsia="en-AU"/>
        </w:rPr>
      </w:pPr>
      <w:r w:rsidRPr="0041606B">
        <w:rPr>
          <w:rFonts w:ascii="Arial" w:hAnsi="Arial" w:eastAsia="Times New Roman" w:cs="Arial"/>
          <w:szCs w:val="22"/>
          <w:lang w:val="en-US" w:eastAsia="en-AU"/>
        </w:rPr>
        <w:t xml:space="preserve">Applications are to be lodged prior to work </w:t>
      </w:r>
      <w:proofErr w:type="gramStart"/>
      <w:r w:rsidRPr="0041606B">
        <w:rPr>
          <w:rFonts w:ascii="Arial" w:hAnsi="Arial" w:eastAsia="Times New Roman" w:cs="Arial"/>
          <w:szCs w:val="22"/>
          <w:lang w:val="en-US" w:eastAsia="en-AU"/>
        </w:rPr>
        <w:t>commencing;</w:t>
      </w:r>
      <w:proofErr w:type="gramEnd"/>
      <w:r w:rsidRPr="0041606B">
        <w:rPr>
          <w:rFonts w:ascii="Arial" w:hAnsi="Arial" w:eastAsia="Times New Roman" w:cs="Arial"/>
          <w:szCs w:val="22"/>
          <w:lang w:val="en-US" w:eastAsia="en-AU"/>
        </w:rPr>
        <w:t> </w:t>
      </w:r>
    </w:p>
    <w:p w:rsidRPr="0041606B" w:rsidR="00D94093" w:rsidP="00D94093" w:rsidRDefault="00D94093" w14:paraId="03CD91CF" w14:textId="77777777">
      <w:pPr>
        <w:numPr>
          <w:ilvl w:val="0"/>
          <w:numId w:val="19"/>
        </w:numPr>
        <w:tabs>
          <w:tab w:val="clear" w:pos="720"/>
          <w:tab w:val="num" w:pos="1134"/>
        </w:tabs>
        <w:spacing w:line="240" w:lineRule="auto"/>
        <w:ind w:left="1110" w:hanging="543"/>
        <w:jc w:val="both"/>
        <w:textAlignment w:val="baseline"/>
        <w:rPr>
          <w:rFonts w:ascii="Arial" w:hAnsi="Arial" w:eastAsia="Times New Roman" w:cs="Arial"/>
          <w:szCs w:val="22"/>
          <w:lang w:val="en-US" w:eastAsia="en-AU"/>
        </w:rPr>
      </w:pPr>
      <w:r w:rsidRPr="0041606B">
        <w:rPr>
          <w:rFonts w:ascii="Arial" w:hAnsi="Arial" w:eastAsia="Times New Roman" w:cs="Arial"/>
          <w:szCs w:val="22"/>
          <w:lang w:val="en-US" w:eastAsia="en-AU"/>
        </w:rPr>
        <w:t xml:space="preserve">No in-kind work will be included as part of the owner’s </w:t>
      </w:r>
      <w:proofErr w:type="gramStart"/>
      <w:r w:rsidRPr="0041606B">
        <w:rPr>
          <w:rFonts w:ascii="Arial" w:hAnsi="Arial" w:eastAsia="Times New Roman" w:cs="Arial"/>
          <w:szCs w:val="22"/>
          <w:lang w:val="en-US" w:eastAsia="en-AU"/>
        </w:rPr>
        <w:t>contribution;</w:t>
      </w:r>
      <w:proofErr w:type="gramEnd"/>
      <w:r w:rsidRPr="0041606B">
        <w:rPr>
          <w:rFonts w:ascii="Arial" w:hAnsi="Arial" w:eastAsia="Times New Roman" w:cs="Arial"/>
          <w:szCs w:val="22"/>
          <w:lang w:val="en-US" w:eastAsia="en-AU"/>
        </w:rPr>
        <w:t> </w:t>
      </w:r>
    </w:p>
    <w:p w:rsidRPr="0041606B" w:rsidR="00D94093" w:rsidP="00D94093" w:rsidRDefault="00D94093" w14:paraId="005F6634" w14:textId="77777777">
      <w:pPr>
        <w:numPr>
          <w:ilvl w:val="0"/>
          <w:numId w:val="19"/>
        </w:numPr>
        <w:tabs>
          <w:tab w:val="clear" w:pos="720"/>
          <w:tab w:val="num" w:pos="1134"/>
        </w:tabs>
        <w:spacing w:line="240" w:lineRule="auto"/>
        <w:ind w:left="1110" w:hanging="543"/>
        <w:jc w:val="both"/>
        <w:textAlignment w:val="baseline"/>
        <w:rPr>
          <w:rFonts w:ascii="Arial" w:hAnsi="Arial" w:eastAsia="Times New Roman" w:cs="Arial"/>
          <w:szCs w:val="22"/>
          <w:lang w:val="en-US" w:eastAsia="en-AU"/>
        </w:rPr>
      </w:pPr>
      <w:r w:rsidRPr="0041606B">
        <w:rPr>
          <w:rFonts w:ascii="Arial" w:hAnsi="Arial" w:eastAsia="Times New Roman" w:cs="Arial"/>
          <w:szCs w:val="22"/>
          <w:lang w:val="en-US" w:eastAsia="en-AU"/>
        </w:rPr>
        <w:t xml:space="preserve">Two written quotes are required to be submitted as part of the application for </w:t>
      </w:r>
      <w:proofErr w:type="gramStart"/>
      <w:r w:rsidRPr="0041606B">
        <w:rPr>
          <w:rFonts w:ascii="Arial" w:hAnsi="Arial" w:eastAsia="Times New Roman" w:cs="Arial"/>
          <w:szCs w:val="22"/>
          <w:lang w:val="en-US" w:eastAsia="en-AU"/>
        </w:rPr>
        <w:t>funding;</w:t>
      </w:r>
      <w:proofErr w:type="gramEnd"/>
      <w:r w:rsidRPr="0041606B">
        <w:rPr>
          <w:rFonts w:ascii="Arial" w:hAnsi="Arial" w:eastAsia="Times New Roman" w:cs="Arial"/>
          <w:szCs w:val="22"/>
          <w:lang w:val="en-US" w:eastAsia="en-AU"/>
        </w:rPr>
        <w:t> </w:t>
      </w:r>
    </w:p>
    <w:p w:rsidRPr="0041606B" w:rsidR="00D94093" w:rsidP="00D94093" w:rsidRDefault="00D94093" w14:paraId="66E08E9D" w14:textId="77777777">
      <w:pPr>
        <w:numPr>
          <w:ilvl w:val="0"/>
          <w:numId w:val="19"/>
        </w:numPr>
        <w:tabs>
          <w:tab w:val="clear" w:pos="720"/>
          <w:tab w:val="num" w:pos="1134"/>
        </w:tabs>
        <w:spacing w:line="240" w:lineRule="auto"/>
        <w:ind w:left="1110" w:hanging="543"/>
        <w:jc w:val="both"/>
        <w:textAlignment w:val="baseline"/>
        <w:rPr>
          <w:rFonts w:ascii="Arial" w:hAnsi="Arial" w:eastAsia="Times New Roman" w:cs="Arial"/>
          <w:szCs w:val="22"/>
          <w:lang w:val="en-US" w:eastAsia="en-AU"/>
        </w:rPr>
      </w:pPr>
      <w:r w:rsidRPr="0041606B">
        <w:rPr>
          <w:rFonts w:ascii="Arial" w:hAnsi="Arial" w:eastAsia="Times New Roman" w:cs="Arial"/>
          <w:szCs w:val="22"/>
          <w:lang w:val="en-US" w:eastAsia="en-AU"/>
        </w:rPr>
        <w:t xml:space="preserve">If a Conservation Management Plan or Conservation Management Strategy has previously been </w:t>
      </w:r>
      <w:proofErr w:type="gramStart"/>
      <w:r w:rsidRPr="0041606B">
        <w:rPr>
          <w:rFonts w:ascii="Arial" w:hAnsi="Arial" w:eastAsia="Times New Roman" w:cs="Arial"/>
          <w:szCs w:val="22"/>
          <w:lang w:val="en-US" w:eastAsia="en-AU"/>
        </w:rPr>
        <w:t>prepared</w:t>
      </w:r>
      <w:proofErr w:type="gramEnd"/>
      <w:r w:rsidRPr="0041606B">
        <w:rPr>
          <w:rFonts w:ascii="Arial" w:hAnsi="Arial" w:eastAsia="Times New Roman" w:cs="Arial"/>
          <w:szCs w:val="22"/>
          <w:lang w:val="en-US" w:eastAsia="en-AU"/>
        </w:rPr>
        <w:t xml:space="preserve"> then works must be consistent with the recommendations of these documents; </w:t>
      </w:r>
    </w:p>
    <w:p w:rsidRPr="0041606B" w:rsidR="00D94093" w:rsidP="00D94093" w:rsidRDefault="00D94093" w14:paraId="4FCBFFF1" w14:textId="77777777">
      <w:pPr>
        <w:spacing w:line="240" w:lineRule="auto"/>
        <w:ind w:left="567"/>
        <w:jc w:val="both"/>
        <w:textAlignment w:val="baseline"/>
        <w:rPr>
          <w:rFonts w:ascii="Arial" w:hAnsi="Arial" w:eastAsia="Times New Roman" w:cs="Arial"/>
          <w:szCs w:val="22"/>
          <w:lang w:eastAsia="en-AU"/>
        </w:rPr>
      </w:pPr>
      <w:r w:rsidRPr="0041606B">
        <w:rPr>
          <w:rFonts w:ascii="Arial" w:hAnsi="Arial" w:eastAsia="Times New Roman" w:cs="Arial"/>
          <w:szCs w:val="22"/>
          <w:u w:val="single"/>
          <w:lang w:val="en-US" w:eastAsia="en-AU"/>
        </w:rPr>
        <w:t>Conservation Management Plans (CMP) and Conservation Management Strategies (CMS)</w:t>
      </w:r>
      <w:r w:rsidRPr="0041606B">
        <w:rPr>
          <w:rFonts w:ascii="Arial" w:hAnsi="Arial" w:eastAsia="Times New Roman" w:cs="Arial"/>
          <w:szCs w:val="22"/>
          <w:lang w:eastAsia="en-AU"/>
        </w:rPr>
        <w:t> </w:t>
      </w:r>
    </w:p>
    <w:p w:rsidRPr="0041606B" w:rsidR="00D94093" w:rsidP="00D94093" w:rsidRDefault="00D94093" w14:paraId="60269FC8" w14:textId="7743D3C5">
      <w:pPr>
        <w:numPr>
          <w:ilvl w:val="0"/>
          <w:numId w:val="19"/>
        </w:numPr>
        <w:tabs>
          <w:tab w:val="clear" w:pos="720"/>
          <w:tab w:val="num" w:pos="1134"/>
        </w:tabs>
        <w:spacing w:line="240" w:lineRule="auto"/>
        <w:ind w:left="1110" w:hanging="543"/>
        <w:jc w:val="both"/>
        <w:textAlignment w:val="baseline"/>
        <w:rPr>
          <w:rFonts w:ascii="Arial" w:hAnsi="Arial" w:eastAsia="Times New Roman" w:cs="Arial"/>
          <w:szCs w:val="22"/>
          <w:lang w:eastAsia="en-AU"/>
        </w:rPr>
      </w:pPr>
      <w:r w:rsidRPr="0041606B">
        <w:rPr>
          <w:rFonts w:ascii="Arial" w:hAnsi="Arial" w:eastAsia="Times New Roman" w:cs="Arial"/>
          <w:szCs w:val="22"/>
          <w:lang w:val="en-US" w:eastAsia="en-AU"/>
        </w:rPr>
        <w:t xml:space="preserve">The CMP or CMS must be prepared by a suitably qualified and experienced heritage practitioner on the State Heritage Office’s recommended suppliers list. Quotes must be presented to the </w:t>
      </w:r>
      <w:proofErr w:type="gramStart"/>
      <w:r w:rsidRPr="0041606B">
        <w:rPr>
          <w:rFonts w:ascii="Arial" w:hAnsi="Arial" w:eastAsia="Times New Roman" w:cs="Arial"/>
          <w:szCs w:val="22"/>
          <w:lang w:val="en-US" w:eastAsia="en-AU"/>
        </w:rPr>
        <w:t>City</w:t>
      </w:r>
      <w:proofErr w:type="gramEnd"/>
      <w:r w:rsidRPr="0041606B">
        <w:rPr>
          <w:rFonts w:ascii="Arial" w:hAnsi="Arial" w:eastAsia="Times New Roman" w:cs="Arial"/>
          <w:szCs w:val="22"/>
          <w:lang w:val="en-US" w:eastAsia="en-AU"/>
        </w:rPr>
        <w:t xml:space="preserve"> prior to preparation of the CMP or CMS; and</w:t>
      </w:r>
      <w:r w:rsidRPr="0041606B">
        <w:rPr>
          <w:rFonts w:ascii="Arial" w:hAnsi="Arial" w:eastAsia="Times New Roman" w:cs="Arial"/>
          <w:szCs w:val="22"/>
          <w:lang w:eastAsia="en-AU"/>
        </w:rPr>
        <w:t> </w:t>
      </w:r>
    </w:p>
    <w:p w:rsidRPr="0041606B" w:rsidR="00D94093" w:rsidP="00D94093" w:rsidRDefault="00D94093" w14:paraId="44CCB6B0" w14:textId="77777777">
      <w:pPr>
        <w:numPr>
          <w:ilvl w:val="0"/>
          <w:numId w:val="20"/>
        </w:numPr>
        <w:tabs>
          <w:tab w:val="clear" w:pos="720"/>
          <w:tab w:val="num" w:pos="1134"/>
        </w:tabs>
        <w:spacing w:line="240" w:lineRule="auto"/>
        <w:ind w:left="1110" w:hanging="543"/>
        <w:jc w:val="both"/>
        <w:textAlignment w:val="baseline"/>
        <w:rPr>
          <w:rFonts w:ascii="Arial" w:hAnsi="Arial" w:eastAsia="Times New Roman" w:cs="Arial"/>
          <w:szCs w:val="22"/>
          <w:lang w:eastAsia="en-AU"/>
        </w:rPr>
      </w:pPr>
      <w:r w:rsidRPr="0041606B">
        <w:rPr>
          <w:rFonts w:ascii="Arial" w:hAnsi="Arial" w:eastAsia="Times New Roman" w:cs="Arial"/>
          <w:szCs w:val="22"/>
          <w:lang w:val="en-US" w:eastAsia="en-AU"/>
        </w:rPr>
        <w:t>The owner must directly engage the nominated heritage practitioner. The City’s contribution will be paid to the owner on the City’s receipt of the CMP or CMS.</w:t>
      </w:r>
      <w:r w:rsidRPr="0041606B">
        <w:rPr>
          <w:rFonts w:ascii="Arial" w:hAnsi="Arial" w:eastAsia="Times New Roman" w:cs="Arial"/>
          <w:szCs w:val="22"/>
          <w:lang w:eastAsia="en-AU"/>
        </w:rPr>
        <w:t> </w:t>
      </w:r>
    </w:p>
    <w:p w:rsidRPr="0041606B" w:rsidR="00D94093" w:rsidP="00D94093" w:rsidRDefault="00D94093" w14:paraId="6FC71310" w14:textId="77777777">
      <w:pPr>
        <w:pStyle w:val="paragraph"/>
        <w:spacing w:before="0" w:beforeAutospacing="0" w:after="160" w:afterAutospacing="0"/>
        <w:jc w:val="both"/>
        <w:textAlignment w:val="baseline"/>
        <w:rPr>
          <w:rStyle w:val="normaltextrun"/>
          <w:rFonts w:ascii="Arial" w:hAnsi="Arial" w:cs="Arial"/>
          <w:b/>
          <w:bCs/>
          <w:sz w:val="22"/>
          <w:szCs w:val="22"/>
          <w:lang w:val="en-US"/>
        </w:rPr>
      </w:pPr>
    </w:p>
    <w:p w:rsidR="00132B6C" w:rsidP="0041606B" w:rsidRDefault="00D94093" w14:paraId="41A8F27E" w14:textId="350DB250">
      <w:pPr>
        <w:pStyle w:val="Heading2"/>
        <w:rPr>
          <w:rStyle w:val="normaltextrun"/>
        </w:rPr>
      </w:pPr>
      <w:r w:rsidRPr="0041606B">
        <w:rPr>
          <w:rStyle w:val="normaltextrun"/>
        </w:rPr>
        <w:t>MAXIMUM LEVEL OF FUNDING AVAILABLE </w:t>
      </w:r>
    </w:p>
    <w:p w:rsidRPr="0041606B" w:rsidR="0041606B" w:rsidP="0041606B" w:rsidRDefault="0041606B" w14:paraId="697E6BEB" w14:textId="77777777">
      <w:pPr>
        <w:pBdr>
          <w:bottom w:val="single" w:color="0070C0" w:sz="12" w:space="1"/>
        </w:pBdr>
        <w:rPr>
          <w:lang w:val="en-US"/>
        </w:rPr>
      </w:pPr>
    </w:p>
    <w:p w:rsidRPr="0041606B" w:rsidR="003935A0" w:rsidP="003935A0" w:rsidRDefault="003935A0" w14:paraId="3EA22B7F" w14:textId="77777777">
      <w:pPr>
        <w:spacing w:after="0" w:line="240" w:lineRule="auto"/>
        <w:ind w:left="360"/>
        <w:jc w:val="both"/>
        <w:textAlignment w:val="baseline"/>
        <w:rPr>
          <w:rFonts w:ascii="Arial" w:hAnsi="Arial" w:cs="Arial"/>
          <w:szCs w:val="22"/>
        </w:rPr>
      </w:pPr>
      <w:r w:rsidRPr="0041606B">
        <w:rPr>
          <w:rFonts w:ascii="Arial" w:hAnsi="Arial" w:eastAsia="Times New Roman" w:cs="Arial"/>
          <w:szCs w:val="22"/>
          <w:lang w:eastAsia="en-AU"/>
        </w:rPr>
        <w:t> </w:t>
      </w:r>
      <w:r w:rsidRPr="0041606B">
        <w:rPr>
          <w:rFonts w:ascii="Arial" w:hAnsi="Arial" w:cs="Arial"/>
          <w:szCs w:val="22"/>
        </w:rPr>
        <w:t>Based on Local Heritage Survey Management Categories. </w:t>
      </w:r>
    </w:p>
    <w:p w:rsidRPr="0041606B" w:rsidR="003935A0" w:rsidP="003935A0" w:rsidRDefault="003935A0" w14:paraId="6E6B6AF2" w14:textId="77777777">
      <w:pPr>
        <w:pStyle w:val="ListParagraph"/>
        <w:numPr>
          <w:ilvl w:val="0"/>
          <w:numId w:val="24"/>
        </w:numPr>
        <w:spacing w:after="0"/>
        <w:rPr>
          <w:rFonts w:ascii="Arial" w:hAnsi="Arial" w:cs="Arial"/>
          <w:szCs w:val="22"/>
        </w:rPr>
      </w:pPr>
      <w:r w:rsidRPr="0041606B">
        <w:rPr>
          <w:rFonts w:ascii="Arial" w:hAnsi="Arial" w:cs="Arial"/>
          <w:szCs w:val="22"/>
        </w:rPr>
        <w:t>Exceptional Level of Significance Place</w:t>
      </w:r>
    </w:p>
    <w:p w:rsidRPr="0041606B" w:rsidR="003935A0" w:rsidP="003935A0" w:rsidRDefault="003935A0" w14:paraId="29F2AE84" w14:textId="77777777">
      <w:pPr>
        <w:spacing w:after="0"/>
        <w:ind w:left="1287"/>
        <w:rPr>
          <w:rFonts w:ascii="Arial" w:hAnsi="Arial" w:cs="Arial"/>
          <w:szCs w:val="22"/>
        </w:rPr>
      </w:pPr>
      <w:r w:rsidRPr="0041606B">
        <w:rPr>
          <w:rFonts w:ascii="Arial" w:hAnsi="Arial" w:cs="Arial"/>
          <w:szCs w:val="22"/>
        </w:rPr>
        <w:t xml:space="preserve">Up to $50,000 per place, but not exceeding 50% of the total cost of approved works. </w:t>
      </w:r>
    </w:p>
    <w:p w:rsidRPr="0041606B" w:rsidR="003935A0" w:rsidP="003935A0" w:rsidRDefault="003935A0" w14:paraId="5E1DC74E" w14:textId="77777777">
      <w:pPr>
        <w:spacing w:after="0"/>
        <w:ind w:left="1287"/>
        <w:rPr>
          <w:rFonts w:ascii="Arial" w:hAnsi="Arial" w:cs="Arial"/>
          <w:szCs w:val="22"/>
        </w:rPr>
      </w:pPr>
    </w:p>
    <w:p w:rsidRPr="0041606B" w:rsidR="003935A0" w:rsidP="003935A0" w:rsidRDefault="003935A0" w14:paraId="3773F4DF" w14:textId="77777777">
      <w:pPr>
        <w:pStyle w:val="ListParagraph"/>
        <w:numPr>
          <w:ilvl w:val="0"/>
          <w:numId w:val="24"/>
        </w:numPr>
        <w:spacing w:after="0"/>
        <w:rPr>
          <w:rFonts w:ascii="Arial" w:hAnsi="Arial" w:cs="Arial"/>
          <w:szCs w:val="22"/>
          <w:lang w:val="en-US" w:eastAsia="en-AU"/>
        </w:rPr>
      </w:pPr>
      <w:r w:rsidRPr="0041606B">
        <w:rPr>
          <w:rFonts w:ascii="Arial" w:hAnsi="Arial" w:cs="Arial"/>
          <w:szCs w:val="22"/>
          <w:lang w:val="en-US" w:eastAsia="en-AU"/>
        </w:rPr>
        <w:t xml:space="preserve">Considerable </w:t>
      </w:r>
      <w:r w:rsidRPr="0041606B">
        <w:rPr>
          <w:rFonts w:ascii="Arial" w:hAnsi="Arial" w:cs="Arial"/>
          <w:szCs w:val="22"/>
        </w:rPr>
        <w:t>Level of Significance Places</w:t>
      </w:r>
      <w:r w:rsidRPr="0041606B">
        <w:rPr>
          <w:rFonts w:ascii="Arial" w:hAnsi="Arial" w:cs="Arial"/>
          <w:szCs w:val="22"/>
          <w:lang w:val="en-US" w:eastAsia="en-AU"/>
        </w:rPr>
        <w:t xml:space="preserve"> </w:t>
      </w:r>
    </w:p>
    <w:p w:rsidRPr="0041606B" w:rsidR="003935A0" w:rsidP="003935A0" w:rsidRDefault="003935A0" w14:paraId="7685DA50" w14:textId="77777777">
      <w:pPr>
        <w:spacing w:after="0"/>
        <w:ind w:left="1287"/>
        <w:rPr>
          <w:rFonts w:ascii="Arial" w:hAnsi="Arial" w:cs="Arial"/>
          <w:szCs w:val="22"/>
        </w:rPr>
      </w:pPr>
      <w:r w:rsidRPr="0041606B">
        <w:rPr>
          <w:rFonts w:ascii="Arial" w:hAnsi="Arial" w:cs="Arial"/>
          <w:szCs w:val="22"/>
        </w:rPr>
        <w:t xml:space="preserve">Up to $20,000 per place, but not exceeding 50% of the total cost of approved works. </w:t>
      </w:r>
    </w:p>
    <w:p w:rsidRPr="0041606B" w:rsidR="003935A0" w:rsidP="003935A0" w:rsidRDefault="003935A0" w14:paraId="08151DF6" w14:textId="77777777">
      <w:pPr>
        <w:spacing w:after="0"/>
        <w:ind w:left="567"/>
        <w:rPr>
          <w:rFonts w:ascii="Arial" w:hAnsi="Arial" w:cs="Arial"/>
          <w:szCs w:val="22"/>
        </w:rPr>
      </w:pPr>
    </w:p>
    <w:p w:rsidRPr="0041606B" w:rsidR="003935A0" w:rsidP="003935A0" w:rsidRDefault="003935A0" w14:paraId="2D2B1340" w14:textId="77777777">
      <w:pPr>
        <w:pStyle w:val="ListParagraph"/>
        <w:numPr>
          <w:ilvl w:val="0"/>
          <w:numId w:val="24"/>
        </w:numPr>
        <w:spacing w:after="0"/>
        <w:rPr>
          <w:rFonts w:ascii="Arial" w:hAnsi="Arial" w:cs="Arial"/>
          <w:szCs w:val="22"/>
          <w:lang w:val="en-US" w:eastAsia="en-AU"/>
        </w:rPr>
      </w:pPr>
      <w:r w:rsidRPr="0041606B">
        <w:rPr>
          <w:rFonts w:ascii="Arial" w:hAnsi="Arial" w:cs="Arial"/>
          <w:szCs w:val="22"/>
          <w:lang w:val="en-US" w:eastAsia="en-AU"/>
        </w:rPr>
        <w:t xml:space="preserve">Some </w:t>
      </w:r>
      <w:r w:rsidRPr="0041606B">
        <w:rPr>
          <w:rFonts w:ascii="Arial" w:hAnsi="Arial" w:cs="Arial"/>
          <w:szCs w:val="22"/>
        </w:rPr>
        <w:t>Level of Significance Places</w:t>
      </w:r>
      <w:r w:rsidRPr="0041606B">
        <w:rPr>
          <w:rFonts w:ascii="Arial" w:hAnsi="Arial" w:cs="Arial"/>
          <w:szCs w:val="22"/>
          <w:lang w:val="en-US" w:eastAsia="en-AU"/>
        </w:rPr>
        <w:t xml:space="preserve"> </w:t>
      </w:r>
    </w:p>
    <w:p w:rsidRPr="0041606B" w:rsidR="003935A0" w:rsidP="003935A0" w:rsidRDefault="003935A0" w14:paraId="688E5085" w14:textId="77777777">
      <w:pPr>
        <w:spacing w:after="0"/>
        <w:ind w:left="1287"/>
        <w:rPr>
          <w:rFonts w:ascii="Arial" w:hAnsi="Arial" w:cs="Arial"/>
          <w:szCs w:val="22"/>
        </w:rPr>
      </w:pPr>
      <w:r w:rsidRPr="0041606B">
        <w:rPr>
          <w:rFonts w:ascii="Arial" w:hAnsi="Arial" w:cs="Arial"/>
          <w:szCs w:val="22"/>
        </w:rPr>
        <w:t xml:space="preserve">Up to $5,000 per place, but not exceeding 50% of the total cost of approved works. </w:t>
      </w:r>
    </w:p>
    <w:p w:rsidRPr="0041606B" w:rsidR="003935A0" w:rsidP="003935A0" w:rsidRDefault="003935A0" w14:paraId="36B3E917" w14:textId="77777777">
      <w:pPr>
        <w:spacing w:after="0"/>
        <w:ind w:left="1287"/>
        <w:rPr>
          <w:rFonts w:ascii="Arial" w:hAnsi="Arial" w:cs="Arial"/>
          <w:szCs w:val="22"/>
        </w:rPr>
      </w:pPr>
    </w:p>
    <w:p w:rsidRPr="0041606B" w:rsidR="003935A0" w:rsidP="003935A0" w:rsidRDefault="003935A0" w14:paraId="2F01EAFA" w14:textId="77777777">
      <w:pPr>
        <w:pStyle w:val="paragraph"/>
        <w:spacing w:before="0" w:beforeAutospacing="0" w:after="160" w:afterAutospacing="0"/>
        <w:ind w:left="567"/>
        <w:jc w:val="both"/>
        <w:textAlignment w:val="baseline"/>
        <w:rPr>
          <w:rFonts w:ascii="Arial" w:hAnsi="Arial" w:cs="Arial"/>
          <w:sz w:val="22"/>
          <w:szCs w:val="22"/>
        </w:rPr>
      </w:pPr>
      <w:r w:rsidRPr="0041606B">
        <w:rPr>
          <w:rFonts w:ascii="Arial" w:hAnsi="Arial" w:cs="Arial"/>
          <w:sz w:val="22"/>
          <w:szCs w:val="22"/>
        </w:rPr>
        <w:t>Note: Funding cannot be used towards the payment of GST.</w:t>
      </w:r>
    </w:p>
    <w:p w:rsidRPr="0041606B" w:rsidR="003935A0" w:rsidP="003935A0" w:rsidRDefault="003935A0" w14:paraId="77A04791" w14:textId="77777777">
      <w:pPr>
        <w:pStyle w:val="paragraph"/>
        <w:spacing w:before="0" w:beforeAutospacing="0" w:after="160" w:afterAutospacing="0"/>
        <w:ind w:left="567"/>
        <w:jc w:val="both"/>
        <w:textAlignment w:val="baseline"/>
        <w:rPr>
          <w:rFonts w:ascii="Arial" w:hAnsi="Arial" w:cs="Arial"/>
          <w:sz w:val="22"/>
          <w:szCs w:val="22"/>
        </w:rPr>
      </w:pPr>
      <w:r w:rsidRPr="0041606B">
        <w:rPr>
          <w:rStyle w:val="normaltextrun"/>
          <w:rFonts w:ascii="Arial" w:hAnsi="Arial" w:cs="Arial"/>
          <w:sz w:val="22"/>
          <w:szCs w:val="22"/>
          <w:lang w:val="en-US"/>
        </w:rPr>
        <w:t>The following conditions may also apply:</w:t>
      </w:r>
      <w:r w:rsidRPr="0041606B">
        <w:rPr>
          <w:rStyle w:val="eop"/>
          <w:rFonts w:ascii="Arial" w:hAnsi="Arial" w:cs="Arial"/>
          <w:sz w:val="22"/>
          <w:szCs w:val="22"/>
        </w:rPr>
        <w:t> </w:t>
      </w:r>
    </w:p>
    <w:p w:rsidRPr="0041606B" w:rsidR="003935A0" w:rsidP="12AFAB92" w:rsidRDefault="003935A0" w14:paraId="5AE68235" w14:textId="11CC9BBE">
      <w:pPr>
        <w:pStyle w:val="paragraph"/>
        <w:numPr>
          <w:ilvl w:val="0"/>
          <w:numId w:val="25"/>
        </w:numPr>
        <w:spacing w:before="0" w:beforeAutospacing="0" w:after="0" w:afterAutospacing="0"/>
        <w:jc w:val="both"/>
        <w:textAlignment w:val="baseline"/>
        <w:rPr>
          <w:rStyle w:val="normaltextrun"/>
          <w:rFonts w:ascii="Arial" w:hAnsi="Arial" w:cs="Arial"/>
          <w:sz w:val="22"/>
          <w:szCs w:val="22"/>
        </w:rPr>
      </w:pPr>
      <w:r w:rsidRPr="0041606B">
        <w:rPr>
          <w:rStyle w:val="normaltextrun"/>
          <w:rFonts w:ascii="Arial" w:hAnsi="Arial" w:cs="Arial"/>
          <w:sz w:val="22"/>
          <w:szCs w:val="22"/>
          <w:lang w:val="en-US"/>
        </w:rPr>
        <w:t>Successful applicants are required to complete and sign a ‘Recipient’s Agreement’ which outlines the terms of funding</w:t>
      </w:r>
      <w:r w:rsidRPr="0041606B" w:rsidR="0E3407ED">
        <w:rPr>
          <w:rStyle w:val="normaltextrun"/>
          <w:rFonts w:ascii="Arial" w:hAnsi="Arial" w:cs="Arial"/>
          <w:sz w:val="22"/>
          <w:szCs w:val="22"/>
          <w:lang w:val="en-US"/>
        </w:rPr>
        <w:t>.</w:t>
      </w:r>
      <w:r w:rsidRPr="0041606B">
        <w:rPr>
          <w:rStyle w:val="normaltextrun"/>
          <w:rFonts w:ascii="Arial" w:hAnsi="Arial" w:cs="Arial"/>
          <w:sz w:val="22"/>
          <w:szCs w:val="22"/>
          <w:lang w:val="en-US"/>
        </w:rPr>
        <w:t xml:space="preserve"> </w:t>
      </w:r>
    </w:p>
    <w:p w:rsidRPr="0041606B" w:rsidR="003935A0" w:rsidP="003935A0" w:rsidRDefault="003935A0" w14:paraId="581E00E5" w14:textId="77777777">
      <w:pPr>
        <w:pStyle w:val="paragraph"/>
        <w:numPr>
          <w:ilvl w:val="0"/>
          <w:numId w:val="25"/>
        </w:numPr>
        <w:spacing w:before="0" w:beforeAutospacing="0" w:after="0" w:afterAutospacing="0"/>
        <w:jc w:val="both"/>
        <w:textAlignment w:val="baseline"/>
        <w:rPr>
          <w:rFonts w:ascii="Arial" w:hAnsi="Arial" w:cs="Arial"/>
          <w:sz w:val="22"/>
          <w:szCs w:val="22"/>
        </w:rPr>
      </w:pPr>
      <w:r w:rsidRPr="0041606B">
        <w:rPr>
          <w:rStyle w:val="normaltextrun"/>
          <w:rFonts w:ascii="Arial" w:hAnsi="Arial" w:cs="Arial"/>
          <w:sz w:val="22"/>
          <w:szCs w:val="22"/>
          <w:lang w:val="en-US"/>
        </w:rPr>
        <w:t>Funding will be paid upon the completion of the work to the satisfaction of the City, and presentation of invoices.</w:t>
      </w:r>
      <w:r w:rsidRPr="0041606B">
        <w:rPr>
          <w:rStyle w:val="eop"/>
          <w:rFonts w:ascii="Arial" w:hAnsi="Arial" w:cs="Arial"/>
          <w:sz w:val="22"/>
          <w:szCs w:val="22"/>
        </w:rPr>
        <w:t> </w:t>
      </w:r>
    </w:p>
    <w:p w:rsidRPr="0041606B" w:rsidR="003935A0" w:rsidP="003935A0" w:rsidRDefault="003935A0" w14:paraId="121542A3" w14:textId="77777777">
      <w:pPr>
        <w:pStyle w:val="paragraph"/>
        <w:numPr>
          <w:ilvl w:val="0"/>
          <w:numId w:val="25"/>
        </w:numPr>
        <w:spacing w:before="0" w:beforeAutospacing="0" w:after="0" w:afterAutospacing="0"/>
        <w:jc w:val="both"/>
        <w:textAlignment w:val="baseline"/>
        <w:rPr>
          <w:rFonts w:ascii="Arial" w:hAnsi="Arial" w:cs="Arial"/>
          <w:sz w:val="22"/>
          <w:szCs w:val="22"/>
        </w:rPr>
      </w:pPr>
      <w:r w:rsidRPr="0041606B">
        <w:rPr>
          <w:rStyle w:val="normaltextrun"/>
          <w:rFonts w:ascii="Arial" w:hAnsi="Arial" w:cs="Arial"/>
          <w:sz w:val="22"/>
          <w:szCs w:val="22"/>
          <w:lang w:val="en-US"/>
        </w:rPr>
        <w:t>Approval of Funding does not remove the need for other statutory approvals. No work shall commence until all necessary approvals are in place.</w:t>
      </w:r>
      <w:r w:rsidRPr="0041606B">
        <w:rPr>
          <w:rStyle w:val="eop"/>
          <w:rFonts w:ascii="Arial" w:hAnsi="Arial" w:cs="Arial"/>
          <w:sz w:val="22"/>
          <w:szCs w:val="22"/>
        </w:rPr>
        <w:t> </w:t>
      </w:r>
    </w:p>
    <w:p w:rsidRPr="0041606B" w:rsidR="003935A0" w:rsidP="003935A0" w:rsidRDefault="003935A0" w14:paraId="54AA1AD7" w14:textId="77777777">
      <w:pPr>
        <w:pStyle w:val="paragraph"/>
        <w:numPr>
          <w:ilvl w:val="0"/>
          <w:numId w:val="25"/>
        </w:numPr>
        <w:spacing w:before="0" w:beforeAutospacing="0" w:after="0" w:afterAutospacing="0"/>
        <w:jc w:val="both"/>
        <w:textAlignment w:val="baseline"/>
        <w:rPr>
          <w:rFonts w:ascii="Arial" w:hAnsi="Arial" w:cs="Arial"/>
          <w:sz w:val="22"/>
          <w:szCs w:val="22"/>
        </w:rPr>
      </w:pPr>
      <w:r w:rsidRPr="0041606B">
        <w:rPr>
          <w:rStyle w:val="normaltextrun"/>
          <w:rFonts w:ascii="Arial" w:hAnsi="Arial" w:cs="Arial"/>
          <w:sz w:val="22"/>
          <w:szCs w:val="22"/>
          <w:lang w:val="en-US"/>
        </w:rPr>
        <w:t>All statutory application fees to the City are waived for projects funded by the Local Heritage Fund.</w:t>
      </w:r>
      <w:r w:rsidRPr="0041606B">
        <w:rPr>
          <w:rStyle w:val="eop"/>
          <w:rFonts w:ascii="Arial" w:hAnsi="Arial" w:cs="Arial"/>
          <w:sz w:val="22"/>
          <w:szCs w:val="22"/>
        </w:rPr>
        <w:t> </w:t>
      </w:r>
    </w:p>
    <w:p w:rsidRPr="0041606B" w:rsidR="003935A0" w:rsidP="003935A0" w:rsidRDefault="003935A0" w14:paraId="1CD489B7" w14:textId="77777777">
      <w:pPr>
        <w:pStyle w:val="paragraph"/>
        <w:numPr>
          <w:ilvl w:val="0"/>
          <w:numId w:val="25"/>
        </w:numPr>
        <w:spacing w:before="0" w:beforeAutospacing="0" w:after="0" w:afterAutospacing="0"/>
        <w:jc w:val="both"/>
        <w:textAlignment w:val="baseline"/>
        <w:rPr>
          <w:rStyle w:val="eop"/>
          <w:rFonts w:ascii="Arial" w:hAnsi="Arial" w:cs="Arial"/>
          <w:sz w:val="22"/>
          <w:szCs w:val="22"/>
        </w:rPr>
      </w:pPr>
      <w:r w:rsidRPr="0041606B">
        <w:rPr>
          <w:rStyle w:val="normaltextrun"/>
          <w:rFonts w:ascii="Arial" w:hAnsi="Arial" w:cs="Arial"/>
          <w:sz w:val="22"/>
          <w:szCs w:val="22"/>
          <w:lang w:val="en-US"/>
        </w:rPr>
        <w:t xml:space="preserve">In certain circumstances, the </w:t>
      </w:r>
      <w:proofErr w:type="gramStart"/>
      <w:r w:rsidRPr="0041606B">
        <w:rPr>
          <w:rStyle w:val="normaltextrun"/>
          <w:rFonts w:ascii="Arial" w:hAnsi="Arial" w:cs="Arial"/>
          <w:sz w:val="22"/>
          <w:szCs w:val="22"/>
          <w:lang w:val="en-US"/>
        </w:rPr>
        <w:t>City</w:t>
      </w:r>
      <w:proofErr w:type="gramEnd"/>
      <w:r w:rsidRPr="0041606B">
        <w:rPr>
          <w:rStyle w:val="normaltextrun"/>
          <w:rFonts w:ascii="Arial" w:hAnsi="Arial" w:cs="Arial"/>
          <w:sz w:val="22"/>
          <w:szCs w:val="22"/>
          <w:lang w:val="en-US"/>
        </w:rPr>
        <w:t xml:space="preserve"> may require the applicant to enter into a ‘Heritage Agreement’, to be prepared at the applicant’s expense.</w:t>
      </w:r>
      <w:r w:rsidRPr="0041606B">
        <w:rPr>
          <w:rStyle w:val="eop"/>
          <w:rFonts w:ascii="Arial" w:hAnsi="Arial" w:cs="Arial"/>
          <w:sz w:val="22"/>
          <w:szCs w:val="22"/>
        </w:rPr>
        <w:t> </w:t>
      </w:r>
    </w:p>
    <w:p w:rsidRPr="0041606B" w:rsidR="003935A0" w:rsidP="003935A0" w:rsidRDefault="003935A0" w14:paraId="3DDAD0A2" w14:textId="77777777">
      <w:pPr>
        <w:pStyle w:val="paragraph"/>
        <w:spacing w:before="0" w:beforeAutospacing="0" w:after="160" w:afterAutospacing="0"/>
        <w:jc w:val="both"/>
        <w:textAlignment w:val="baseline"/>
        <w:rPr>
          <w:rStyle w:val="normaltextrun"/>
          <w:rFonts w:ascii="Arial" w:hAnsi="Arial" w:cs="Arial"/>
          <w:b/>
          <w:bCs/>
          <w:sz w:val="22"/>
          <w:szCs w:val="22"/>
          <w:lang w:val="en-US"/>
        </w:rPr>
      </w:pPr>
    </w:p>
    <w:p w:rsidR="000C6D49" w:rsidP="0041606B" w:rsidRDefault="003935A0" w14:paraId="132C40B4" w14:textId="4EFD29CE">
      <w:pPr>
        <w:pStyle w:val="Heading2"/>
        <w:rPr>
          <w:rStyle w:val="normaltextrun"/>
        </w:rPr>
      </w:pPr>
      <w:r w:rsidRPr="0041606B">
        <w:rPr>
          <w:rStyle w:val="normaltextrun"/>
        </w:rPr>
        <w:t>ACQUITTAL </w:t>
      </w:r>
    </w:p>
    <w:p w:rsidRPr="0041606B" w:rsidR="0041606B" w:rsidP="0041606B" w:rsidRDefault="0041606B" w14:paraId="6139B50D" w14:textId="77777777">
      <w:pPr>
        <w:pBdr>
          <w:bottom w:val="single" w:color="0070C0" w:sz="12" w:space="1"/>
        </w:pBdr>
        <w:rPr>
          <w:lang w:val="en-US"/>
        </w:rPr>
      </w:pPr>
    </w:p>
    <w:p w:rsidRPr="0041606B" w:rsidR="000C6D49" w:rsidP="000C6D49" w:rsidRDefault="000C6D49" w14:paraId="23BAE8BF" w14:textId="77777777">
      <w:pPr>
        <w:pStyle w:val="paragraph"/>
        <w:spacing w:before="0" w:beforeAutospacing="0" w:after="160" w:afterAutospacing="0"/>
        <w:ind w:left="567"/>
        <w:jc w:val="both"/>
        <w:textAlignment w:val="baseline"/>
        <w:rPr>
          <w:rFonts w:ascii="Arial" w:hAnsi="Arial" w:cs="Arial"/>
          <w:sz w:val="22"/>
          <w:szCs w:val="22"/>
        </w:rPr>
      </w:pPr>
      <w:r w:rsidRPr="0041606B">
        <w:rPr>
          <w:rStyle w:val="normaltextrun"/>
          <w:rFonts w:ascii="Arial" w:hAnsi="Arial" w:cs="Arial"/>
          <w:sz w:val="22"/>
          <w:szCs w:val="22"/>
          <w:lang w:val="en-US"/>
        </w:rPr>
        <w:t>Upon completion of works, the applicant must submit a claim form and relevant invoices to the City. Local Heritage Fund claim forms will be accepted by the City up until the last week of May in the same Financial Year funding was granted. Late claim forms will not be accepted.</w:t>
      </w:r>
      <w:r w:rsidRPr="0041606B">
        <w:rPr>
          <w:rStyle w:val="eop"/>
          <w:rFonts w:ascii="Arial" w:hAnsi="Arial" w:cs="Arial"/>
          <w:sz w:val="22"/>
          <w:szCs w:val="22"/>
        </w:rPr>
        <w:t> </w:t>
      </w:r>
    </w:p>
    <w:p w:rsidRPr="0041606B" w:rsidR="000C6D49" w:rsidP="12AFAB92" w:rsidRDefault="000C6D49" w14:paraId="547FB96F" w14:textId="3760AB15">
      <w:pPr>
        <w:pStyle w:val="paragraph"/>
        <w:spacing w:before="0" w:beforeAutospacing="0" w:after="160" w:afterAutospacing="0"/>
        <w:ind w:left="567"/>
        <w:jc w:val="both"/>
        <w:textAlignment w:val="baseline"/>
        <w:rPr>
          <w:rFonts w:ascii="Arial" w:hAnsi="Arial" w:cs="Arial"/>
          <w:sz w:val="22"/>
          <w:szCs w:val="22"/>
        </w:rPr>
      </w:pPr>
      <w:r w:rsidRPr="0041606B">
        <w:rPr>
          <w:rStyle w:val="normaltextrun"/>
          <w:rFonts w:ascii="Arial" w:hAnsi="Arial" w:cs="Arial"/>
          <w:sz w:val="22"/>
          <w:szCs w:val="22"/>
          <w:lang w:val="en-US"/>
        </w:rPr>
        <w:t>If funds are not acquitted in the same Financial Year, the applicant may</w:t>
      </w:r>
      <w:r w:rsidRPr="0041606B" w:rsidR="019715B0">
        <w:rPr>
          <w:rStyle w:val="normaltextrun"/>
          <w:rFonts w:ascii="Arial" w:hAnsi="Arial" w:cs="Arial"/>
          <w:sz w:val="22"/>
          <w:szCs w:val="22"/>
          <w:lang w:val="en-US"/>
        </w:rPr>
        <w:t xml:space="preserve"> </w:t>
      </w:r>
      <w:r w:rsidRPr="0041606B">
        <w:rPr>
          <w:rStyle w:val="normaltextrun"/>
          <w:rFonts w:ascii="Arial" w:hAnsi="Arial" w:cs="Arial"/>
          <w:sz w:val="22"/>
          <w:szCs w:val="22"/>
          <w:lang w:val="en-US"/>
        </w:rPr>
        <w:t>be ineligible for any future funding from this funding scheme.</w:t>
      </w:r>
      <w:r w:rsidRPr="0041606B">
        <w:rPr>
          <w:rStyle w:val="eop"/>
          <w:rFonts w:ascii="Arial" w:hAnsi="Arial" w:cs="Arial"/>
          <w:sz w:val="22"/>
          <w:szCs w:val="22"/>
        </w:rPr>
        <w:t> </w:t>
      </w:r>
    </w:p>
    <w:p w:rsidRPr="0041606B" w:rsidR="00FF07AF" w:rsidP="589FD55D" w:rsidRDefault="00FF07AF" w14:paraId="53D9590A" w14:textId="77777777" w14:noSpellErr="1">
      <w:pPr>
        <w:autoSpaceDE w:val="0"/>
        <w:autoSpaceDN w:val="0"/>
        <w:adjustRightInd w:val="0"/>
        <w:spacing w:after="0" w:line="276" w:lineRule="auto"/>
        <w:jc w:val="both"/>
        <w:rPr>
          <w:rFonts w:ascii="Arial" w:hAnsi="Arial" w:cs="Arial"/>
          <w:kern w:val="0"/>
          <w:lang w:bidi="ar-SA"/>
        </w:rPr>
      </w:pPr>
    </w:p>
    <w:p w:rsidR="589FD55D" w:rsidP="589FD55D" w:rsidRDefault="589FD55D" w14:paraId="4B98DD2C" w14:textId="5D4B3E7C">
      <w:pPr>
        <w:pStyle w:val="Normal"/>
        <w:spacing w:after="0" w:line="276" w:lineRule="auto"/>
        <w:jc w:val="both"/>
        <w:rPr>
          <w:rFonts w:ascii="Arial" w:hAnsi="Arial" w:cs="Arial"/>
          <w:lang w:bidi="ar-SA"/>
        </w:rPr>
      </w:pPr>
    </w:p>
    <w:p w:rsidR="589FD55D" w:rsidP="589FD55D" w:rsidRDefault="589FD55D" w14:paraId="5FAF9516" w14:textId="4306DAA5">
      <w:pPr>
        <w:pStyle w:val="Normal"/>
        <w:spacing w:after="0" w:line="276" w:lineRule="auto"/>
        <w:jc w:val="both"/>
        <w:rPr>
          <w:rFonts w:ascii="Arial" w:hAnsi="Arial" w:cs="Arial"/>
          <w:lang w:bidi="ar-SA"/>
        </w:rPr>
      </w:pPr>
    </w:p>
    <w:p w:rsidRPr="0041606B" w:rsidR="008E4223" w:rsidP="00891FDD" w:rsidRDefault="008E4223" w14:paraId="0CC74DB0" w14:textId="77777777">
      <w:pPr>
        <w:spacing w:after="0" w:line="240" w:lineRule="auto"/>
        <w:jc w:val="both"/>
        <w:rPr>
          <w:rFonts w:ascii="Arial" w:hAnsi="Arial" w:eastAsia="Times New Roman" w:cs="Arial"/>
          <w:color w:val="000000"/>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61"/>
        <w:gridCol w:w="4261"/>
      </w:tblGrid>
      <w:tr w:rsidRPr="0041606B" w:rsidR="00A4477C" w:rsidTr="707BAFDE" w14:paraId="1A12AE35" w14:textId="77777777">
        <w:trPr>
          <w:trHeight w:val="340"/>
          <w:jc w:val="center"/>
        </w:trPr>
        <w:tc>
          <w:tcPr>
            <w:tcW w:w="4261" w:type="dxa"/>
            <w:tcMar/>
            <w:vAlign w:val="center"/>
          </w:tcPr>
          <w:p w:rsidRPr="0041606B" w:rsidR="00A4477C" w:rsidP="002C535B" w:rsidRDefault="00A4477C" w14:paraId="2B57BCD1" w14:textId="77777777">
            <w:pPr>
              <w:widowControl w:val="0"/>
              <w:spacing w:after="0" w:line="240" w:lineRule="auto"/>
              <w:rPr>
                <w:rFonts w:ascii="Arial" w:hAnsi="Arial" w:eastAsia="Times New Roman" w:cs="Arial"/>
                <w:i/>
                <w:color w:val="000000"/>
                <w:szCs w:val="22"/>
              </w:rPr>
            </w:pPr>
            <w:r w:rsidRPr="0041606B">
              <w:rPr>
                <w:rFonts w:ascii="Arial" w:hAnsi="Arial" w:eastAsia="Times New Roman" w:cs="Arial"/>
                <w:color w:val="000000"/>
                <w:szCs w:val="22"/>
              </w:rPr>
              <w:t xml:space="preserve">Date Adopted: </w:t>
            </w:r>
            <w:r w:rsidRPr="0041606B">
              <w:rPr>
                <w:rFonts w:ascii="Arial" w:hAnsi="Arial" w:eastAsia="Times New Roman" w:cs="Arial"/>
                <w:i/>
                <w:color w:val="000000"/>
                <w:szCs w:val="22"/>
                <w:highlight w:val="yellow"/>
              </w:rPr>
              <w:t>Insert OCM details and date</w:t>
            </w:r>
          </w:p>
        </w:tc>
        <w:tc>
          <w:tcPr>
            <w:tcW w:w="4261" w:type="dxa"/>
            <w:tcMar/>
            <w:vAlign w:val="center"/>
          </w:tcPr>
          <w:p w:rsidRPr="0041606B" w:rsidR="00A4477C" w:rsidP="002C535B" w:rsidRDefault="00A4477C" w14:paraId="5FF3766A" w14:textId="77777777">
            <w:pPr>
              <w:widowControl w:val="0"/>
              <w:spacing w:after="0" w:line="240" w:lineRule="auto"/>
              <w:rPr>
                <w:rFonts w:ascii="Arial" w:hAnsi="Arial" w:eastAsia="Times New Roman" w:cs="Arial"/>
                <w:i/>
                <w:color w:val="000000"/>
                <w:szCs w:val="22"/>
              </w:rPr>
            </w:pPr>
            <w:r w:rsidRPr="0041606B">
              <w:rPr>
                <w:rFonts w:ascii="Arial" w:hAnsi="Arial" w:eastAsia="Times New Roman" w:cs="Arial"/>
                <w:color w:val="000000"/>
                <w:szCs w:val="22"/>
              </w:rPr>
              <w:t xml:space="preserve">Item Number: </w:t>
            </w:r>
            <w:r w:rsidRPr="0041606B">
              <w:rPr>
                <w:rFonts w:ascii="Arial" w:hAnsi="Arial" w:eastAsia="Times New Roman" w:cs="Arial"/>
                <w:i/>
                <w:color w:val="000000"/>
                <w:szCs w:val="22"/>
                <w:highlight w:val="yellow"/>
              </w:rPr>
              <w:t>Insert OCM Item No.</w:t>
            </w:r>
          </w:p>
        </w:tc>
      </w:tr>
      <w:tr w:rsidRPr="0041606B" w:rsidR="00A4477C" w:rsidTr="707BAFDE" w14:paraId="2E79CD13" w14:textId="77777777">
        <w:trPr>
          <w:trHeight w:val="340"/>
          <w:jc w:val="center"/>
        </w:trPr>
        <w:tc>
          <w:tcPr>
            <w:tcW w:w="4261" w:type="dxa"/>
            <w:tcMar/>
            <w:vAlign w:val="center"/>
          </w:tcPr>
          <w:p w:rsidRPr="0041606B" w:rsidR="00A4477C" w:rsidP="707BAFDE" w:rsidRDefault="00A4477C" w14:paraId="59B1D7BB" w14:textId="77777777">
            <w:pPr>
              <w:widowControl w:val="0"/>
              <w:spacing w:after="0" w:line="240" w:lineRule="auto"/>
              <w:rPr>
                <w:rFonts w:ascii="Arial" w:hAnsi="Arial" w:eastAsia="Times New Roman" w:cs="Arial"/>
                <w:color w:val="000000"/>
              </w:rPr>
            </w:pPr>
            <w:r w:rsidRPr="707BAFDE" w:rsidR="00A4477C">
              <w:rPr>
                <w:rFonts w:ascii="Arial" w:hAnsi="Arial" w:eastAsia="Times New Roman" w:cs="Arial"/>
                <w:color w:val="000000" w:themeColor="text1" w:themeTint="FF" w:themeShade="FF"/>
              </w:rPr>
              <w:t xml:space="preserve">Delegation: </w:t>
            </w:r>
            <w:r w:rsidRPr="707BAFDE" w:rsidR="00A4477C">
              <w:rPr>
                <w:rFonts w:ascii="Arial" w:hAnsi="Arial" w:eastAsia="Times New Roman" w:cs="Arial"/>
                <w:color w:val="000000" w:themeColor="text1" w:themeTint="FF" w:themeShade="FF"/>
              </w:rPr>
              <w:t>Ordinary Council Meeting</w:t>
            </w:r>
          </w:p>
        </w:tc>
        <w:tc>
          <w:tcPr>
            <w:tcW w:w="4261" w:type="dxa"/>
            <w:tcMar/>
            <w:vAlign w:val="center"/>
          </w:tcPr>
          <w:p w:rsidRPr="0041606B" w:rsidR="00A4477C" w:rsidP="707BAFDE" w:rsidRDefault="00A4477C" w14:paraId="16AE0EC8" w14:textId="77777777">
            <w:pPr>
              <w:widowControl w:val="0"/>
              <w:spacing w:after="0" w:line="240" w:lineRule="auto"/>
              <w:rPr>
                <w:rFonts w:ascii="Arial" w:hAnsi="Arial" w:eastAsia="Times New Roman" w:cs="Arial"/>
                <w:color w:val="000000"/>
              </w:rPr>
            </w:pPr>
            <w:r w:rsidRPr="707BAFDE" w:rsidR="00A4477C">
              <w:rPr>
                <w:rFonts w:ascii="Arial" w:hAnsi="Arial" w:eastAsia="Times New Roman" w:cs="Arial"/>
                <w:color w:val="000000" w:themeColor="text1" w:themeTint="FF" w:themeShade="FF"/>
              </w:rPr>
              <w:t xml:space="preserve">Revision Number: </w:t>
            </w:r>
            <w:r>
              <w:tab/>
            </w:r>
            <w:r w:rsidRPr="707BAFDE" w:rsidR="00A4477C">
              <w:rPr>
                <w:rFonts w:ascii="Arial" w:hAnsi="Arial" w:eastAsia="Times New Roman" w:cs="Arial"/>
                <w:color w:val="000000" w:themeColor="text1" w:themeTint="FF" w:themeShade="FF"/>
              </w:rPr>
              <w:t>1</w:t>
            </w:r>
          </w:p>
        </w:tc>
      </w:tr>
      <w:tr w:rsidRPr="0041606B" w:rsidR="00A4477C" w:rsidTr="707BAFDE" w14:paraId="1D47779C" w14:textId="77777777">
        <w:trPr>
          <w:trHeight w:val="340"/>
          <w:jc w:val="center"/>
        </w:trPr>
        <w:tc>
          <w:tcPr>
            <w:tcW w:w="8522" w:type="dxa"/>
            <w:gridSpan w:val="2"/>
            <w:tcMar/>
            <w:vAlign w:val="center"/>
          </w:tcPr>
          <w:p w:rsidRPr="0041606B" w:rsidR="00A4477C" w:rsidP="707BAFDE" w:rsidRDefault="00A4477C" w14:paraId="11BD1125" w14:textId="0BE18124">
            <w:pPr>
              <w:widowControl w:val="0"/>
              <w:spacing w:after="0" w:line="240" w:lineRule="auto"/>
              <w:rPr>
                <w:rFonts w:ascii="Arial" w:hAnsi="Arial" w:eastAsia="Times New Roman" w:cs="Arial"/>
                <w:color w:val="000000"/>
              </w:rPr>
            </w:pPr>
            <w:r w:rsidRPr="707BAFDE" w:rsidR="00A4477C">
              <w:rPr>
                <w:rFonts w:ascii="Arial" w:hAnsi="Arial" w:eastAsia="Times New Roman" w:cs="Arial"/>
                <w:color w:val="000000" w:themeColor="text1" w:themeTint="FF" w:themeShade="FF"/>
              </w:rPr>
              <w:t xml:space="preserve">Authority: </w:t>
            </w:r>
            <w:r w:rsidRPr="707BAFDE" w:rsidR="00A4477C">
              <w:rPr>
                <w:rFonts w:ascii="Arial" w:hAnsi="Arial" w:eastAsia="Times New Roman" w:cs="Arial"/>
                <w:color w:val="000000" w:themeColor="text1" w:themeTint="FF" w:themeShade="FF"/>
              </w:rPr>
              <w:t>City of Kalgoorlie-Boulder Local Planning Scheme No. 2 202</w:t>
            </w:r>
            <w:r w:rsidRPr="707BAFDE" w:rsidR="00AA0EA8">
              <w:rPr>
                <w:rFonts w:ascii="Arial" w:hAnsi="Arial" w:eastAsia="Times New Roman" w:cs="Arial"/>
                <w:color w:val="000000" w:themeColor="text1" w:themeTint="FF" w:themeShade="FF"/>
              </w:rPr>
              <w:t>3</w:t>
            </w:r>
            <w:r w:rsidRPr="707BAFDE" w:rsidR="00A4477C">
              <w:rPr>
                <w:rFonts w:ascii="Arial" w:hAnsi="Arial" w:eastAsia="Times New Roman" w:cs="Arial"/>
                <w:color w:val="000000" w:themeColor="text1" w:themeTint="FF" w:themeShade="FF"/>
              </w:rPr>
              <w:t xml:space="preserve"> (as amended)</w:t>
            </w:r>
          </w:p>
        </w:tc>
      </w:tr>
    </w:tbl>
    <w:p w:rsidRPr="0041606B" w:rsidR="00A4477C" w:rsidP="00891FDD" w:rsidRDefault="00A4477C" w14:paraId="59C453DE" w14:textId="77777777">
      <w:pPr>
        <w:spacing w:after="0" w:line="240" w:lineRule="auto"/>
        <w:rPr>
          <w:rFonts w:ascii="Arial" w:hAnsi="Arial" w:eastAsia="Times New Roman" w:cs="Arial"/>
          <w:color w:val="000000"/>
          <w:szCs w:val="22"/>
          <w:shd w:val="clear" w:color="auto" w:fill="FFFFFF"/>
        </w:rPr>
      </w:pPr>
    </w:p>
    <w:sectPr w:rsidRPr="0041606B" w:rsidR="00A4477C" w:rsidSect="0041606B">
      <w:headerReference w:type="even" r:id="rId8"/>
      <w:headerReference w:type="default" r:id="rId9"/>
      <w:headerReference w:type="first" r:id="rId10"/>
      <w:pgSz w:w="11906" w:h="16838" w:orient="portrait"/>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3DE6" w:rsidP="00B94451" w:rsidRDefault="004E3DE6" w14:paraId="526DF8E6" w14:textId="77777777">
      <w:pPr>
        <w:spacing w:after="0" w:line="240" w:lineRule="auto"/>
      </w:pPr>
      <w:r>
        <w:separator/>
      </w:r>
    </w:p>
  </w:endnote>
  <w:endnote w:type="continuationSeparator" w:id="0">
    <w:p w:rsidR="004E3DE6" w:rsidP="00B94451" w:rsidRDefault="004E3DE6" w14:paraId="756E0F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3DE6" w:rsidP="00B94451" w:rsidRDefault="004E3DE6" w14:paraId="686007F3" w14:textId="77777777">
      <w:pPr>
        <w:spacing w:after="0" w:line="240" w:lineRule="auto"/>
      </w:pPr>
      <w:r>
        <w:separator/>
      </w:r>
    </w:p>
  </w:footnote>
  <w:footnote w:type="continuationSeparator" w:id="0">
    <w:p w:rsidR="004E3DE6" w:rsidP="00B94451" w:rsidRDefault="004E3DE6" w14:paraId="6225EF7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329" w:rsidRDefault="00000000" w14:paraId="29E7D91A" w14:textId="42428647">
    <w:pPr>
      <w:pStyle w:val="Header"/>
    </w:pPr>
    <w:r>
      <w:rPr>
        <w:noProof/>
      </w:rPr>
      <w:pict w14:anchorId="02884E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066829" style="position:absolute;margin-left:0;margin-top:0;width:480.9pt;height:206.1pt;rotation:315;z-index:-251653120;mso-position-horizontal:center;mso-position-horizontal-relative:margin;mso-position-vertical:center;mso-position-vertical-relative:margin" o:spid="_x0000_s1026" o:allowincell="f" fillcolor="silver" stroked="f" type="#_x0000_t136">
          <v:fill opacity=".5"/>
          <v:textpath style="font-family:&quot;Calibri&quot;;font-size:1pt" string="MODIF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4FE" w:rsidP="0041606B" w:rsidRDefault="00000000" w14:paraId="34982D80" w14:textId="5F9ADCE1">
    <w:pPr>
      <w:pStyle w:val="Header"/>
      <w:jc w:val="center"/>
      <w:rPr>
        <w:rFonts w:ascii="Century Gothic" w:hAnsi="Century Gothic"/>
        <w:b/>
        <w:bCs/>
        <w:sz w:val="28"/>
        <w:szCs w:val="36"/>
      </w:rPr>
    </w:pPr>
    <w:r>
      <w:rPr>
        <w:noProof/>
      </w:rPr>
      <w:pict w14:anchorId="208282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066830" style="position:absolute;left:0;text-align:left;margin-left:0;margin-top:0;width:480.9pt;height:206.1pt;rotation:315;z-index:-251651072;mso-position-horizontal:center;mso-position-horizontal-relative:margin;mso-position-vertical:center;mso-position-vertical-relative:margin" o:spid="_x0000_s1027" o:allowincell="f" fillcolor="silver" stroked="f" type="#_x0000_t136">
          <v:fill opacity=".5"/>
          <v:textpath style="font-family:&quot;Calibri&quot;;font-size:1pt" string="MODIF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1606B" w:rsidRDefault="0041606B" w14:paraId="4D83E5AB" w14:textId="7A4C1493">
    <w:pPr>
      <w:pStyle w:val="Header"/>
      <w:rPr>
        <w:noProof/>
        <w:lang w:eastAsia="en-AU"/>
      </w:rPr>
    </w:pPr>
    <w:r>
      <w:rPr>
        <w:noProof/>
        <w:lang w:eastAsia="en-AU"/>
      </w:rPr>
      <w:drawing>
        <wp:anchor distT="0" distB="0" distL="114300" distR="114300" simplePos="0" relativeHeight="251667456" behindDoc="1" locked="0" layoutInCell="1" allowOverlap="1" wp14:anchorId="671667E6" wp14:editId="53BE3473">
          <wp:simplePos x="0" y="0"/>
          <wp:positionH relativeFrom="page">
            <wp:align>left</wp:align>
          </wp:positionH>
          <wp:positionV relativeFrom="paragraph">
            <wp:posOffset>-454025</wp:posOffset>
          </wp:positionV>
          <wp:extent cx="7562215" cy="9848850"/>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215" cy="9848850"/>
                  </a:xfrm>
                  <a:prstGeom prst="rect">
                    <a:avLst/>
                  </a:prstGeom>
                </pic:spPr>
              </pic:pic>
            </a:graphicData>
          </a:graphic>
          <wp14:sizeRelH relativeFrom="margin">
            <wp14:pctWidth>0</wp14:pctWidth>
          </wp14:sizeRelH>
          <wp14:sizeRelV relativeFrom="margin">
            <wp14:pctHeight>0</wp14:pctHeight>
          </wp14:sizeRelV>
        </wp:anchor>
      </w:drawing>
    </w:r>
  </w:p>
  <w:p w:rsidR="0041606B" w:rsidRDefault="0041606B" w14:paraId="462BCC41" w14:textId="6D213A73">
    <w:pPr>
      <w:pStyle w:val="Header"/>
      <w:rPr>
        <w:noProof/>
        <w:lang w:eastAsia="en-AU"/>
      </w:rPr>
    </w:pPr>
  </w:p>
  <w:p w:rsidR="0041606B" w:rsidRDefault="0041606B" w14:paraId="6ED059E8" w14:textId="7C3DC5E8">
    <w:pPr>
      <w:pStyle w:val="Header"/>
      <w:rPr>
        <w:noProof/>
        <w:lang w:eastAsia="en-AU"/>
      </w:rPr>
    </w:pPr>
  </w:p>
  <w:p w:rsidR="0041606B" w:rsidRDefault="0041606B" w14:paraId="48788E49" w14:textId="77777777">
    <w:pPr>
      <w:pStyle w:val="Header"/>
      <w:rPr>
        <w:noProof/>
        <w:lang w:eastAsia="en-AU"/>
      </w:rPr>
    </w:pPr>
  </w:p>
  <w:p w:rsidR="0041606B" w:rsidRDefault="0041606B" w14:paraId="542A1BBD" w14:textId="77777777">
    <w:pPr>
      <w:pStyle w:val="Header"/>
      <w:rPr>
        <w:noProof/>
        <w:lang w:eastAsia="en-AU"/>
      </w:rPr>
    </w:pPr>
  </w:p>
  <w:p w:rsidR="0041606B" w:rsidRDefault="0041606B" w14:paraId="68A06C62" w14:textId="77777777">
    <w:pPr>
      <w:pStyle w:val="Header"/>
      <w:rPr>
        <w:noProof/>
        <w:lang w:eastAsia="en-AU"/>
      </w:rPr>
    </w:pPr>
  </w:p>
  <w:p w:rsidR="006F3329" w:rsidRDefault="00000000" w14:paraId="4DFE24E1" w14:textId="2B91252E">
    <w:pPr>
      <w:pStyle w:val="Header"/>
    </w:pPr>
    <w:r>
      <w:rPr>
        <w:noProof/>
      </w:rPr>
      <w:pict w14:anchorId="2C44D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066828" style="position:absolute;margin-left:0;margin-top:0;width:480.9pt;height:206.1pt;rotation:315;z-index:-251655168;mso-position-horizontal:center;mso-position-horizontal-relative:margin;mso-position-vertical:center;mso-position-vertical-relative:margin" o:spid="_x0000_s1025" o:allowincell="f" fillcolor="silver" stroked="f" type="#_x0000_t136">
          <v:fill opacity=".5"/>
          <v:textpath style="font-family:&quot;Calibri&quot;;font-size:1pt" string="MODIF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3C1"/>
    <w:multiLevelType w:val="hybridMultilevel"/>
    <w:tmpl w:val="38521B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A88346A"/>
    <w:multiLevelType w:val="hybridMultilevel"/>
    <w:tmpl w:val="74AA01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745596"/>
    <w:multiLevelType w:val="multilevel"/>
    <w:tmpl w:val="A6129608"/>
    <w:lvl w:ilvl="0">
      <w:start w:val="1"/>
      <w:numFmt w:val="decimal"/>
      <w:lvlText w:val="%1."/>
      <w:lvlJc w:val="left"/>
      <w:pPr>
        <w:tabs>
          <w:tab w:val="num" w:pos="720"/>
        </w:tabs>
        <w:ind w:left="720" w:hanging="360"/>
      </w:pPr>
      <w:rPr>
        <w:rFonts w:hint="default" w:asciiTheme="minorHAnsi" w:hAnsiTheme="minorHAnsi" w:cstheme="minorHAnsi"/>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51881"/>
    <w:multiLevelType w:val="hybridMultilevel"/>
    <w:tmpl w:val="7088695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B944138"/>
    <w:multiLevelType w:val="hybridMultilevel"/>
    <w:tmpl w:val="CCA449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14057B9"/>
    <w:multiLevelType w:val="hybridMultilevel"/>
    <w:tmpl w:val="46B8571A"/>
    <w:lvl w:ilvl="0" w:tplc="2562AC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C70B09"/>
    <w:multiLevelType w:val="hybridMultilevel"/>
    <w:tmpl w:val="8CE0E83A"/>
    <w:lvl w:ilvl="0" w:tplc="0F5CBC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52485D"/>
    <w:multiLevelType w:val="multilevel"/>
    <w:tmpl w:val="A810FA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72F620C"/>
    <w:multiLevelType w:val="hybridMultilevel"/>
    <w:tmpl w:val="8A5C8332"/>
    <w:lvl w:ilvl="0" w:tplc="1B4810DE">
      <w:start w:val="1"/>
      <w:numFmt w:val="decimal"/>
      <w:lvlText w:val="%1."/>
      <w:lvlJc w:val="left"/>
      <w:pPr>
        <w:ind w:left="720" w:hanging="360"/>
      </w:pPr>
      <w:rPr>
        <w:rFonts w:hint="default" w:cs="Arial"/>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80124F"/>
    <w:multiLevelType w:val="hybridMultilevel"/>
    <w:tmpl w:val="1EA2AB2C"/>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10" w15:restartNumberingAfterBreak="0">
    <w:nsid w:val="29101069"/>
    <w:multiLevelType w:val="hybridMultilevel"/>
    <w:tmpl w:val="62B8CB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2AC91DC2"/>
    <w:multiLevelType w:val="hybridMultilevel"/>
    <w:tmpl w:val="44B07584"/>
    <w:lvl w:ilvl="0" w:tplc="2562AC3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46D7A68"/>
    <w:multiLevelType w:val="hybridMultilevel"/>
    <w:tmpl w:val="840AE70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398F7561"/>
    <w:multiLevelType w:val="hybridMultilevel"/>
    <w:tmpl w:val="F1AAAF74"/>
    <w:lvl w:ilvl="0" w:tplc="69A6640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3B637B70"/>
    <w:multiLevelType w:val="hybridMultilevel"/>
    <w:tmpl w:val="81B466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F142EFB"/>
    <w:multiLevelType w:val="hybridMultilevel"/>
    <w:tmpl w:val="1EAAC18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404C5982"/>
    <w:multiLevelType w:val="multilevel"/>
    <w:tmpl w:val="2DFC8C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1B909AF"/>
    <w:multiLevelType w:val="hybridMultilevel"/>
    <w:tmpl w:val="82BCD9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C631458"/>
    <w:multiLevelType w:val="hybridMultilevel"/>
    <w:tmpl w:val="317EFC1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C8520A8"/>
    <w:multiLevelType w:val="hybridMultilevel"/>
    <w:tmpl w:val="E604DB72"/>
    <w:lvl w:ilvl="0" w:tplc="EF1EE6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DE76DA"/>
    <w:multiLevelType w:val="hybridMultilevel"/>
    <w:tmpl w:val="D7C0728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CEA37E3"/>
    <w:multiLevelType w:val="hybridMultilevel"/>
    <w:tmpl w:val="4394F4BA"/>
    <w:lvl w:ilvl="0" w:tplc="0F5CBCB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6551123C"/>
    <w:multiLevelType w:val="hybridMultilevel"/>
    <w:tmpl w:val="96E662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68026065"/>
    <w:multiLevelType w:val="hybridMultilevel"/>
    <w:tmpl w:val="A6744D54"/>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24" w15:restartNumberingAfterBreak="0">
    <w:nsid w:val="6B2C4B19"/>
    <w:multiLevelType w:val="hybridMultilevel"/>
    <w:tmpl w:val="65362EDC"/>
    <w:lvl w:ilvl="0" w:tplc="EF1EE686">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6C4F6DC1"/>
    <w:multiLevelType w:val="hybridMultilevel"/>
    <w:tmpl w:val="C26083D0"/>
    <w:lvl w:ilvl="0" w:tplc="63B6BF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0065BB"/>
    <w:multiLevelType w:val="hybridMultilevel"/>
    <w:tmpl w:val="01267A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7F372983"/>
    <w:multiLevelType w:val="hybridMultilevel"/>
    <w:tmpl w:val="5DE4851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437098099">
    <w:abstractNumId w:val="23"/>
  </w:num>
  <w:num w:numId="2" w16cid:durableId="1683166724">
    <w:abstractNumId w:val="17"/>
  </w:num>
  <w:num w:numId="3" w16cid:durableId="1408186713">
    <w:abstractNumId w:val="14"/>
  </w:num>
  <w:num w:numId="4" w16cid:durableId="6255667">
    <w:abstractNumId w:val="6"/>
  </w:num>
  <w:num w:numId="5" w16cid:durableId="775827779">
    <w:abstractNumId w:val="21"/>
  </w:num>
  <w:num w:numId="6" w16cid:durableId="308023390">
    <w:abstractNumId w:val="0"/>
  </w:num>
  <w:num w:numId="7" w16cid:durableId="152377534">
    <w:abstractNumId w:val="20"/>
  </w:num>
  <w:num w:numId="8" w16cid:durableId="61416279">
    <w:abstractNumId w:val="27"/>
  </w:num>
  <w:num w:numId="9" w16cid:durableId="1833520428">
    <w:abstractNumId w:val="18"/>
  </w:num>
  <w:num w:numId="10" w16cid:durableId="60908239">
    <w:abstractNumId w:val="26"/>
  </w:num>
  <w:num w:numId="11" w16cid:durableId="957763443">
    <w:abstractNumId w:val="10"/>
  </w:num>
  <w:num w:numId="12" w16cid:durableId="991442851">
    <w:abstractNumId w:val="25"/>
  </w:num>
  <w:num w:numId="13" w16cid:durableId="694354460">
    <w:abstractNumId w:val="3"/>
  </w:num>
  <w:num w:numId="14" w16cid:durableId="1179389057">
    <w:abstractNumId w:val="22"/>
  </w:num>
  <w:num w:numId="15" w16cid:durableId="370224465">
    <w:abstractNumId w:val="15"/>
  </w:num>
  <w:num w:numId="16" w16cid:durableId="1166551389">
    <w:abstractNumId w:val="2"/>
  </w:num>
  <w:num w:numId="17" w16cid:durableId="94181430">
    <w:abstractNumId w:val="11"/>
  </w:num>
  <w:num w:numId="18" w16cid:durableId="124929429">
    <w:abstractNumId w:val="5"/>
  </w:num>
  <w:num w:numId="19" w16cid:durableId="951785589">
    <w:abstractNumId w:val="16"/>
  </w:num>
  <w:num w:numId="20" w16cid:durableId="2046328737">
    <w:abstractNumId w:val="7"/>
  </w:num>
  <w:num w:numId="21" w16cid:durableId="1890217401">
    <w:abstractNumId w:val="4"/>
  </w:num>
  <w:num w:numId="22" w16cid:durableId="1312439946">
    <w:abstractNumId w:val="24"/>
  </w:num>
  <w:num w:numId="23" w16cid:durableId="722754855">
    <w:abstractNumId w:val="19"/>
  </w:num>
  <w:num w:numId="24" w16cid:durableId="59641874">
    <w:abstractNumId w:val="9"/>
  </w:num>
  <w:num w:numId="25" w16cid:durableId="1104115180">
    <w:abstractNumId w:val="12"/>
  </w:num>
  <w:num w:numId="26" w16cid:durableId="994799411">
    <w:abstractNumId w:val="13"/>
  </w:num>
  <w:num w:numId="27" w16cid:durableId="413743364">
    <w:abstractNumId w:val="8"/>
  </w:num>
  <w:num w:numId="28" w16cid:durableId="170151153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86"/>
    <w:rsid w:val="000213C4"/>
    <w:rsid w:val="000C6D49"/>
    <w:rsid w:val="00120987"/>
    <w:rsid w:val="00132B6C"/>
    <w:rsid w:val="001B3D49"/>
    <w:rsid w:val="001D44FE"/>
    <w:rsid w:val="001F7BDE"/>
    <w:rsid w:val="00284FF8"/>
    <w:rsid w:val="002C2A43"/>
    <w:rsid w:val="00370CFF"/>
    <w:rsid w:val="003935A0"/>
    <w:rsid w:val="003A515D"/>
    <w:rsid w:val="003C443B"/>
    <w:rsid w:val="0041606B"/>
    <w:rsid w:val="00434027"/>
    <w:rsid w:val="004C4D88"/>
    <w:rsid w:val="004E3DE6"/>
    <w:rsid w:val="004F4899"/>
    <w:rsid w:val="004F755F"/>
    <w:rsid w:val="00503B8C"/>
    <w:rsid w:val="00504895"/>
    <w:rsid w:val="00535A66"/>
    <w:rsid w:val="0055616A"/>
    <w:rsid w:val="005C0F8E"/>
    <w:rsid w:val="005D2DC6"/>
    <w:rsid w:val="005F2DC2"/>
    <w:rsid w:val="00620B75"/>
    <w:rsid w:val="006610CE"/>
    <w:rsid w:val="006A3CF9"/>
    <w:rsid w:val="006C57D1"/>
    <w:rsid w:val="006D02C0"/>
    <w:rsid w:val="006F3329"/>
    <w:rsid w:val="00717B5F"/>
    <w:rsid w:val="00764CC8"/>
    <w:rsid w:val="007673A1"/>
    <w:rsid w:val="0078665F"/>
    <w:rsid w:val="00791858"/>
    <w:rsid w:val="007A7AE4"/>
    <w:rsid w:val="007F69F2"/>
    <w:rsid w:val="00817B68"/>
    <w:rsid w:val="00845E56"/>
    <w:rsid w:val="00891FDD"/>
    <w:rsid w:val="008B20A6"/>
    <w:rsid w:val="008E4223"/>
    <w:rsid w:val="008F5584"/>
    <w:rsid w:val="009422E3"/>
    <w:rsid w:val="00973A61"/>
    <w:rsid w:val="00984110"/>
    <w:rsid w:val="00991FF1"/>
    <w:rsid w:val="009B10A2"/>
    <w:rsid w:val="009B3FDC"/>
    <w:rsid w:val="009C5099"/>
    <w:rsid w:val="009D56C8"/>
    <w:rsid w:val="009E06EB"/>
    <w:rsid w:val="009E15E7"/>
    <w:rsid w:val="00A33728"/>
    <w:rsid w:val="00A44447"/>
    <w:rsid w:val="00A4477C"/>
    <w:rsid w:val="00AA0EA8"/>
    <w:rsid w:val="00AA7F15"/>
    <w:rsid w:val="00B14E0F"/>
    <w:rsid w:val="00B318A7"/>
    <w:rsid w:val="00B61D47"/>
    <w:rsid w:val="00B8738D"/>
    <w:rsid w:val="00B94451"/>
    <w:rsid w:val="00BF4E29"/>
    <w:rsid w:val="00C054B3"/>
    <w:rsid w:val="00C060D7"/>
    <w:rsid w:val="00C73A0E"/>
    <w:rsid w:val="00D72376"/>
    <w:rsid w:val="00D84523"/>
    <w:rsid w:val="00D87EE9"/>
    <w:rsid w:val="00D94093"/>
    <w:rsid w:val="00E66F45"/>
    <w:rsid w:val="00EA6D61"/>
    <w:rsid w:val="00ED0EFB"/>
    <w:rsid w:val="00ED71F6"/>
    <w:rsid w:val="00F40086"/>
    <w:rsid w:val="00F5019E"/>
    <w:rsid w:val="00F7727F"/>
    <w:rsid w:val="00F95881"/>
    <w:rsid w:val="00FC42BF"/>
    <w:rsid w:val="00FF07AF"/>
    <w:rsid w:val="00FF0B8B"/>
    <w:rsid w:val="019715B0"/>
    <w:rsid w:val="04322FA9"/>
    <w:rsid w:val="08CEA56F"/>
    <w:rsid w:val="0E3407ED"/>
    <w:rsid w:val="0E376413"/>
    <w:rsid w:val="12AFAB92"/>
    <w:rsid w:val="22E38AE0"/>
    <w:rsid w:val="28301F4F"/>
    <w:rsid w:val="31D40004"/>
    <w:rsid w:val="3F87D0DF"/>
    <w:rsid w:val="4529B216"/>
    <w:rsid w:val="486152D8"/>
    <w:rsid w:val="48989D69"/>
    <w:rsid w:val="49E4607E"/>
    <w:rsid w:val="4F8F22BB"/>
    <w:rsid w:val="589FD55D"/>
    <w:rsid w:val="653B9458"/>
    <w:rsid w:val="6669167E"/>
    <w:rsid w:val="6C6DEAAC"/>
    <w:rsid w:val="707BAFDE"/>
    <w:rsid w:val="7585823F"/>
    <w:rsid w:val="7793418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CCE03"/>
  <w15:chartTrackingRefBased/>
  <w15:docId w15:val="{42198A43-257B-44E3-8F32-5F3F14BDB3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autoRedefine/>
    <w:uiPriority w:val="9"/>
    <w:unhideWhenUsed/>
    <w:qFormat/>
    <w:rsid w:val="0041606B"/>
    <w:pPr>
      <w:keepNext/>
      <w:keepLines/>
      <w:spacing w:before="40" w:after="0"/>
      <w:outlineLvl w:val="1"/>
    </w:pPr>
    <w:rPr>
      <w:rFonts w:ascii="Arial" w:hAnsi="Arial" w:cs="Arial" w:eastAsiaTheme="majorEastAsia"/>
      <w:b/>
      <w:bCs/>
      <w:color w:val="1F3864" w:themeColor="accent1" w:themeShade="80"/>
      <w:sz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4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451"/>
  </w:style>
  <w:style w:type="paragraph" w:styleId="Footer">
    <w:name w:val="footer"/>
    <w:basedOn w:val="Normal"/>
    <w:link w:val="FooterChar"/>
    <w:uiPriority w:val="99"/>
    <w:unhideWhenUsed/>
    <w:rsid w:val="00B944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451"/>
  </w:style>
  <w:style w:type="paragraph" w:styleId="ListParagraph">
    <w:name w:val="List Paragraph"/>
    <w:basedOn w:val="Normal"/>
    <w:uiPriority w:val="34"/>
    <w:qFormat/>
    <w:rsid w:val="009E06EB"/>
    <w:pPr>
      <w:ind w:left="720"/>
      <w:contextualSpacing/>
    </w:pPr>
  </w:style>
  <w:style w:type="paragraph" w:styleId="Default" w:customStyle="1">
    <w:name w:val="Default"/>
    <w:rsid w:val="009C5099"/>
    <w:pPr>
      <w:autoSpaceDE w:val="0"/>
      <w:autoSpaceDN w:val="0"/>
      <w:adjustRightInd w:val="0"/>
      <w:spacing w:after="0" w:line="240" w:lineRule="auto"/>
    </w:pPr>
    <w:rPr>
      <w:rFonts w:ascii="Calibri" w:hAnsi="Calibri" w:cs="Calibri"/>
      <w:color w:val="000000"/>
      <w:kern w:val="0"/>
      <w:sz w:val="24"/>
      <w:szCs w:val="24"/>
      <w:lang w:bidi="ar-SA"/>
    </w:rPr>
  </w:style>
  <w:style w:type="table" w:styleId="TableGrid">
    <w:name w:val="Table Grid"/>
    <w:basedOn w:val="TableNormal"/>
    <w:uiPriority w:val="39"/>
    <w:rsid w:val="009C50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55616A"/>
  </w:style>
  <w:style w:type="character" w:styleId="eop" w:customStyle="1">
    <w:name w:val="eop"/>
    <w:basedOn w:val="DefaultParagraphFont"/>
    <w:rsid w:val="0055616A"/>
  </w:style>
  <w:style w:type="paragraph" w:styleId="paragraph" w:customStyle="1">
    <w:name w:val="paragraph"/>
    <w:basedOn w:val="Normal"/>
    <w:rsid w:val="00284FF8"/>
    <w:pPr>
      <w:spacing w:before="100" w:beforeAutospacing="1" w:after="100" w:afterAutospacing="1" w:line="240" w:lineRule="auto"/>
    </w:pPr>
    <w:rPr>
      <w:rFonts w:ascii="Times New Roman" w:hAnsi="Times New Roman" w:eastAsia="Times New Roman" w:cs="Times New Roman"/>
      <w:kern w:val="0"/>
      <w:sz w:val="24"/>
      <w:szCs w:val="24"/>
      <w:lang w:eastAsia="en-AU" w:bidi="ar-SA"/>
      <w14:ligatures w14:val="none"/>
    </w:rPr>
  </w:style>
  <w:style w:type="paragraph" w:styleId="Title">
    <w:name w:val="Title"/>
    <w:aliases w:val="Title of paragraph"/>
    <w:basedOn w:val="Normal"/>
    <w:next w:val="Normal"/>
    <w:link w:val="TitleChar"/>
    <w:uiPriority w:val="10"/>
    <w:qFormat/>
    <w:rsid w:val="00132B6C"/>
    <w:pPr>
      <w:pBdr>
        <w:bottom w:val="single" w:color="4472C4" w:themeColor="accent1" w:sz="8" w:space="4"/>
      </w:pBdr>
      <w:spacing w:before="300" w:after="300" w:line="240" w:lineRule="auto"/>
      <w:contextualSpacing/>
    </w:pPr>
    <w:rPr>
      <w:rFonts w:asciiTheme="majorHAnsi" w:hAnsiTheme="majorHAnsi" w:eastAsiaTheme="majorEastAsia" w:cstheme="majorBidi"/>
      <w:b/>
      <w:color w:val="1F3864" w:themeColor="accent1" w:themeShade="80"/>
      <w:spacing w:val="5"/>
      <w:kern w:val="0"/>
      <w:sz w:val="28"/>
      <w:szCs w:val="52"/>
      <w:lang w:bidi="ar-SA"/>
      <w14:ligatures w14:val="none"/>
    </w:rPr>
  </w:style>
  <w:style w:type="character" w:styleId="TitleChar" w:customStyle="1">
    <w:name w:val="Title Char"/>
    <w:aliases w:val="Title of paragraph Char"/>
    <w:basedOn w:val="DefaultParagraphFont"/>
    <w:link w:val="Title"/>
    <w:uiPriority w:val="10"/>
    <w:rsid w:val="00132B6C"/>
    <w:rPr>
      <w:rFonts w:asciiTheme="majorHAnsi" w:hAnsiTheme="majorHAnsi" w:eastAsiaTheme="majorEastAsia" w:cstheme="majorBidi"/>
      <w:b/>
      <w:color w:val="1F3864" w:themeColor="accent1" w:themeShade="80"/>
      <w:spacing w:val="5"/>
      <w:kern w:val="0"/>
      <w:sz w:val="28"/>
      <w:szCs w:val="52"/>
      <w:lang w:bidi="ar-SA"/>
      <w14:ligatures w14:val="none"/>
    </w:rPr>
  </w:style>
  <w:style w:type="character" w:styleId="Heading2Char" w:customStyle="1">
    <w:name w:val="Heading 2 Char"/>
    <w:basedOn w:val="DefaultParagraphFont"/>
    <w:link w:val="Heading2"/>
    <w:uiPriority w:val="9"/>
    <w:rsid w:val="0041606B"/>
    <w:rPr>
      <w:rFonts w:ascii="Arial" w:hAnsi="Arial" w:cs="Arial" w:eastAsiaTheme="majorEastAsia"/>
      <w:b/>
      <w:bCs/>
      <w:color w:val="1F3864" w:themeColor="accent1" w:themeShade="8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3.xml" Id="rId10" /><Relationship Type="http://schemas.openxmlformats.org/officeDocument/2006/relationships/settings" Target="settings.xml" Id="rId4" /><Relationship Type="http://schemas.openxmlformats.org/officeDocument/2006/relationships/header" Target="header2.xml" Id="rId9"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6C49-9CA0-4199-A490-4289CA42C4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Francesca Lefante</dc:creator>
  <keywords/>
  <dc:description/>
  <lastModifiedBy>Anjuli Till</lastModifiedBy>
  <revision>4</revision>
  <dcterms:created xsi:type="dcterms:W3CDTF">2023-08-09T00:48:00.0000000Z</dcterms:created>
  <dcterms:modified xsi:type="dcterms:W3CDTF">2023-09-01T01:54:17.6170835Z</dcterms:modified>
</coreProperties>
</file>